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74"/>
          <w:u w:val="none"/>
        </w:rPr>
        <w:t xml:space="preserve">苏州工业园区政府采购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74"/>
        </w:rPr>
        <w:t xml:space="preserve">竞争性磋商采购文件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9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采购编号：</w:t>
      </w:r>
      <w:r>
        <w:rPr>
          <w:rFonts w:ascii="Times New Roman" w:hAnsi="Times New Roman" w:eastAsia="Times New Roman" w:cs="Times New Roman"/>
          <w:color w:val="000000"/>
          <w:sz w:val="30"/>
        </w:rPr>
        <w:t xml:space="preserve">JSZC-320591-PMJS-C2026-0010</w:t>
      </w:r>
      <w:r/>
    </w:p>
    <w:p>
      <w:pPr>
        <w:ind w:left="0" w:right="0" w:firstLine="9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采购单位：苏州市相城区人民政府漕湖街道办事处</w:t>
      </w:r>
      <w:r/>
    </w:p>
    <w:p>
      <w:pPr>
        <w:ind w:left="2397" w:right="0" w:hanging="15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采购项目：芮嘉河整治工程</w:t>
      </w:r>
      <w:r/>
    </w:p>
    <w:p>
      <w:pPr>
        <w:ind w:left="0" w:right="0" w:firstLine="9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类别：工程类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562100" cy="120015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04167" name=""/>
                        <pic:cNvPicPr>
                          <a:picLocks noChangeAspect="1"/>
                        </pic:cNvPicPr>
                        <pic:nvPr/>
                      </pic:nvPicPr>
                      <pic:blipFill>
                        <a:blip/>
                        <a:stretch/>
                      </pic:blipFill>
                      <pic:spPr bwMode="auto">
                        <a:xfrm>
                          <a:off x="0" y="0"/>
                          <a:ext cx="1562099" cy="12001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3.0pt;height:94.5pt;mso-wrap-distance-left:0.0pt;mso-wrap-distance-top:0.0pt;mso-wrap-distance-right:0.0pt;mso-wrap-distance-bottom:0.0pt;" stroked="false">
                <v:path textboxrect="0,0,0,0"/>
              </v:shape>
            </w:pict>
          </mc:Fallback>
        </mc:AlternateContent>
      </w:r>
      <w:r>
        <w:rPr>
          <w:rFonts w:ascii="SimSun" w:hAnsi="SimSun" w:eastAsia="SimSun" w:cs="SimSun"/>
          <w:b/>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江苏京苏项目管理咨询有限公司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2025年04月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目录</w:t>
      </w:r>
      <w:r/>
    </w:p>
    <w:p>
      <w:pPr>
        <w:ind w:left="0" w:right="0" w:firstLine="0"/>
        <w:spacing w:before="0" w:after="0" w:line="85" w:lineRule="atLeast"/>
        <w:tabs>
          <w:tab w:val="left" w:pos="830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spacing w:before="0" w:after="0" w:line="113" w:lineRule="atLeast"/>
        <w:tabs>
          <w:tab w:val="left" w:pos="9072"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826" w:history="1">
        <w:r>
          <w:rPr>
            <w:rStyle w:val="1035"/>
            <w:rFonts w:ascii="SimSun" w:hAnsi="SimSun" w:eastAsia="SimSun" w:cs="SimSun"/>
            <w:color w:val="0000ee"/>
            <w:sz w:val="32"/>
            <w:u w:val="single"/>
          </w:rPr>
          <w:t xml:space="preserve">前附表</w:t>
          <w:tab/>
        </w:r>
      </w:hyperlink>
      <w:r/>
      <w:r/>
    </w:p>
    <w:p>
      <w:pPr>
        <w:ind w:left="0" w:right="0" w:firstLine="0"/>
        <w:spacing w:before="0" w:after="0" w:line="113" w:lineRule="atLeast"/>
        <w:tabs>
          <w:tab w:val="left" w:pos="9072"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4214" w:history="1">
        <w:r>
          <w:rPr>
            <w:rStyle w:val="1035"/>
            <w:rFonts w:ascii="SimSun" w:hAnsi="SimSun" w:eastAsia="SimSun" w:cs="SimSun"/>
            <w:color w:val="0000ee"/>
            <w:sz w:val="32"/>
            <w:u w:val="single"/>
          </w:rPr>
          <w:t xml:space="preserve">第一章</w:t>
        </w:r>
        <w:r>
          <w:rPr>
            <w:rStyle w:val="1035"/>
            <w:rFonts w:ascii="SimSun" w:hAnsi="SimSun" w:eastAsia="SimSun" w:cs="SimSun"/>
            <w:color w:val="0000ee"/>
            <w:sz w:val="32"/>
            <w:u w:val="none"/>
          </w:rPr>
          <w:t xml:space="preserve"> </w:t>
        </w:r>
        <w:r>
          <w:rPr>
            <w:rStyle w:val="1035"/>
            <w:rFonts w:ascii="SimSun" w:hAnsi="SimSun" w:eastAsia="SimSun" w:cs="SimSun"/>
            <w:color w:val="0000ee"/>
            <w:sz w:val="32"/>
            <w:u w:val="single"/>
          </w:rPr>
          <w:t xml:space="preserve">磋商邀请函</w:t>
          <w:tab/>
        </w:r>
      </w:hyperlink>
      <w:r/>
      <w:r/>
    </w:p>
    <w:p>
      <w:pPr>
        <w:ind w:left="0" w:right="0" w:firstLine="0"/>
        <w:spacing w:before="0" w:after="0" w:line="113" w:lineRule="atLeast"/>
        <w:tabs>
          <w:tab w:val="left" w:pos="9072"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21223" w:history="1">
        <w:r>
          <w:rPr>
            <w:rStyle w:val="1035"/>
            <w:rFonts w:ascii="SimSun" w:hAnsi="SimSun" w:eastAsia="SimSun" w:cs="SimSun"/>
            <w:color w:val="0000ee"/>
            <w:sz w:val="32"/>
            <w:u w:val="single"/>
          </w:rPr>
          <w:t xml:space="preserve">第二章磋商响应文件格式</w:t>
          <w:tab/>
        </w:r>
      </w:hyperlink>
      <w:r/>
      <w:r/>
    </w:p>
    <w:p>
      <w:pPr>
        <w:ind w:left="0" w:right="0" w:firstLine="0"/>
        <w:jc w:val="both"/>
        <w:spacing w:before="260" w:after="260" w:line="113" w:lineRule="atLeast"/>
        <w:tabs>
          <w:tab w:val="left" w:pos="9072"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2427" w:history="1">
        <w:r>
          <w:rPr>
            <w:rStyle w:val="1035"/>
            <w:rFonts w:ascii="SimSun" w:hAnsi="SimSun" w:eastAsia="SimSun" w:cs="SimSun"/>
            <w:color w:val="0000ee"/>
            <w:sz w:val="32"/>
            <w:u w:val="single"/>
          </w:rPr>
          <w:t xml:space="preserve">第三章</w:t>
        </w:r>
        <w:r>
          <w:rPr>
            <w:rStyle w:val="1035"/>
            <w:rFonts w:ascii="SimSun" w:hAnsi="SimSun" w:eastAsia="SimSun" w:cs="SimSun"/>
            <w:color w:val="0000ee"/>
            <w:sz w:val="32"/>
            <w:u w:val="none"/>
          </w:rPr>
          <w:t xml:space="preserve"> </w:t>
        </w:r>
        <w:r>
          <w:rPr>
            <w:rStyle w:val="1035"/>
            <w:rFonts w:ascii="SimSun" w:hAnsi="SimSun" w:eastAsia="SimSun" w:cs="SimSun"/>
            <w:color w:val="0000ee"/>
            <w:sz w:val="32"/>
            <w:u w:val="single"/>
          </w:rPr>
          <w:t xml:space="preserve">采购内容</w:t>
          <w:tab/>
        </w:r>
      </w:hyperlink>
      <w:r/>
      <w:r/>
    </w:p>
    <w:p>
      <w:pPr>
        <w:ind w:left="0" w:right="0" w:firstLine="0"/>
        <w:spacing w:before="0" w:after="0" w:line="113" w:lineRule="atLeast"/>
        <w:tabs>
          <w:tab w:val="left" w:pos="9072"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7013" w:history="1">
        <w:r>
          <w:rPr>
            <w:rStyle w:val="1035"/>
            <w:rFonts w:ascii="SimSun" w:hAnsi="SimSun" w:eastAsia="SimSun" w:cs="SimSun"/>
            <w:color w:val="0000ee"/>
            <w:sz w:val="32"/>
            <w:u w:val="single"/>
          </w:rPr>
          <w:t xml:space="preserve">第四章</w:t>
        </w:r>
        <w:r>
          <w:rPr>
            <w:rStyle w:val="1035"/>
            <w:rFonts w:ascii="SimSun" w:hAnsi="SimSun" w:eastAsia="SimSun" w:cs="SimSun"/>
            <w:color w:val="0000ee"/>
            <w:sz w:val="32"/>
            <w:u w:val="none"/>
          </w:rPr>
          <w:t xml:space="preserve"> </w:t>
        </w:r>
        <w:r>
          <w:rPr>
            <w:rStyle w:val="1035"/>
            <w:rFonts w:ascii="SimSun" w:hAnsi="SimSun" w:eastAsia="SimSun" w:cs="SimSun"/>
            <w:color w:val="0000ee"/>
            <w:sz w:val="32"/>
            <w:u w:val="single"/>
          </w:rPr>
          <w:t xml:space="preserve">技术管理要求</w:t>
          <w:tab/>
        </w:r>
      </w:hyperlink>
      <w:r/>
      <w:r/>
    </w:p>
    <w:p>
      <w:pPr>
        <w:ind w:left="0" w:right="0" w:firstLine="0"/>
        <w:spacing w:before="0" w:after="0" w:line="113" w:lineRule="atLeast"/>
        <w:tabs>
          <w:tab w:val="left" w:pos="9072"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15956" w:history="1">
        <w:r>
          <w:rPr>
            <w:rStyle w:val="1035"/>
            <w:rFonts w:ascii="SimSun" w:hAnsi="SimSun" w:eastAsia="SimSun" w:cs="SimSun"/>
            <w:color w:val="0000ee"/>
            <w:sz w:val="32"/>
            <w:u w:val="single"/>
          </w:rPr>
          <w:t xml:space="preserve">第五章</w:t>
        </w:r>
        <w:r>
          <w:rPr>
            <w:rStyle w:val="1035"/>
            <w:rFonts w:ascii="SimSun" w:hAnsi="SimSun" w:eastAsia="SimSun" w:cs="SimSun"/>
            <w:color w:val="0000ee"/>
            <w:sz w:val="32"/>
            <w:u w:val="none"/>
          </w:rPr>
          <w:t xml:space="preserve"> </w:t>
        </w:r>
        <w:r>
          <w:rPr>
            <w:rStyle w:val="1035"/>
            <w:rFonts w:ascii="SimSun" w:hAnsi="SimSun" w:eastAsia="SimSun" w:cs="SimSun"/>
            <w:color w:val="0000ee"/>
            <w:sz w:val="32"/>
            <w:u w:val="single"/>
          </w:rPr>
          <w:t xml:space="preserve">合同主要条款</w:t>
          <w:tab/>
        </w:r>
      </w:hyperlink>
      <w:r/>
      <w:r/>
    </w:p>
    <w:p>
      <w:pPr>
        <w:ind w:left="0" w:right="0" w:firstLine="0"/>
        <w:spacing w:before="0" w:after="0" w:line="113" w:lineRule="atLeast"/>
        <w:tabs>
          <w:tab w:val="left" w:pos="9072"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29740" w:history="1">
        <w:r>
          <w:rPr>
            <w:rStyle w:val="1035"/>
            <w:rFonts w:ascii="SimSun" w:hAnsi="SimSun" w:eastAsia="SimSun" w:cs="SimSun"/>
            <w:color w:val="0000ee"/>
            <w:sz w:val="32"/>
            <w:u w:val="single"/>
          </w:rPr>
          <w:t xml:space="preserve">第六章</w:t>
        </w:r>
        <w:r>
          <w:rPr>
            <w:rStyle w:val="1035"/>
            <w:rFonts w:ascii="SimSun" w:hAnsi="SimSun" w:eastAsia="SimSun" w:cs="SimSun"/>
            <w:color w:val="0000ee"/>
            <w:sz w:val="32"/>
            <w:u w:val="none"/>
          </w:rPr>
          <w:t xml:space="preserve"> </w:t>
        </w:r>
        <w:r>
          <w:rPr>
            <w:rStyle w:val="1035"/>
            <w:rFonts w:ascii="SimSun" w:hAnsi="SimSun" w:eastAsia="SimSun" w:cs="SimSun"/>
            <w:color w:val="0000ee"/>
            <w:sz w:val="32"/>
            <w:u w:val="single"/>
          </w:rPr>
          <w:t xml:space="preserve">评审办法</w:t>
          <w:tab/>
        </w:r>
      </w:hyperlink>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pStyle w:val="765"/>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765"/>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u w:val="none"/>
        </w:rPr>
        <w:t xml:space="preserve">前附表</w:t>
      </w:r>
      <w:r/>
    </w:p>
    <w:tbl>
      <w:tblPr>
        <w:tblStyle w:val="79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7"/>
        <w:gridCol w:w="1305"/>
        <w:gridCol w:w="6083"/>
      </w:tblGrid>
      <w:tr>
        <w:trPr>
          <w:trHeight w:val="47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 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说明与要求</w:t>
            </w:r>
            <w:r/>
          </w:p>
        </w:tc>
      </w:tr>
      <w:tr>
        <w:trPr>
          <w:trHeight w:val="4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芮嘉河整治工程</w:t>
            </w:r>
            <w:r/>
          </w:p>
        </w:tc>
      </w:tr>
      <w:tr>
        <w:trPr>
          <w:trHeight w:val="4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建设地点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苏州市相城区漕湖街道</w:t>
            </w:r>
            <w:r/>
          </w:p>
        </w:tc>
      </w:tr>
      <w:tr>
        <w:trPr>
          <w:trHeight w:val="4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包工包料</w:t>
            </w:r>
            <w:r/>
          </w:p>
        </w:tc>
      </w:tr>
      <w:tr>
        <w:trPr>
          <w:trHeight w:val="4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合格</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发包范围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施工范围：芮嘉河整治工程项目，包含对通苏嘉甬铁路跨河段450米河道进行清淤整治等内容，内容详见工程量清单、工程量编制说明。</w:t>
            </w:r>
            <w:r/>
          </w:p>
        </w:tc>
      </w:tr>
      <w:tr>
        <w:trPr>
          <w:trHeight w:val="4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120个日历天（具体开工日期以采购人通知为准）</w:t>
            </w:r>
            <w:r/>
          </w:p>
        </w:tc>
      </w:tr>
      <w:tr>
        <w:trPr>
          <w:trHeight w:val="2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资金来源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财政资金</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现场踏勘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由响应单位自行踏勘（供应商由于未踏勘现场导致的报价失误或对工程量清单理解产生的歧义，其后果自行承担）。</w:t>
            </w:r>
            <w:r/>
          </w:p>
        </w:tc>
      </w:tr>
      <w:tr>
        <w:trPr>
          <w:trHeight w:val="12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供应商的资质等级要求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1、满足中华人民共和国政府采购法第二十二条所规定的条件；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2、申请人资质类别和等级：具有水利水电工程施工总承包三级及以上资质；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3、具备安全生产条件：并取得安全生产许可证；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4、拟派项目技术负责人、水利建造师（项目经理）、专职安全员必须具有省级及以上水行政主管部门颁发的安全生产考核合格证（A/B、B、C类）；项目技术负责人、水利建造师（项目经理）不能为同一个人；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5、水利建造师（项目经理）、专职安全员无在建工程(在建指在其他在建项目中任职项目经理、专职安全员) ，项目技术负责人可有一个在建项目：项目经理、专职安全员有在建工程时，符合以下情形之一的，经该在建工程建设单位同意，方可以参加其他工程项目的投标。 ①水利工程其合同工程量已完成80%以上，且主体工程已完成。 ②通过水下（泵站机组启动、河道通水）验收。 ③通过合同完工验收。 ④工程项目具备合同完工验收条件，已向建设单位提交合同完工验收申请，并经建设单位确认。 ⑤因非承包方原因致使工程项目停工超过120天（含）。</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注：本项目不接受联合体投标。</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工程报价方式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固定综合单价</w:t>
            </w:r>
            <w:r/>
          </w:p>
        </w:tc>
      </w:tr>
      <w:tr>
        <w:trPr>
          <w:trHeight w:val="6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本项目不收取磋商保证金，采购文件中有关磋商保证金的条款不适用。</w:t>
            </w:r>
            <w:r/>
          </w:p>
        </w:tc>
      </w:tr>
      <w:tr>
        <w:trPr>
          <w:trHeight w:val="9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预算价及最高限价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预算价：</w:t>
            </w:r>
            <w:r>
              <w:rPr>
                <w:rFonts w:ascii="Times New Roman" w:hAnsi="Times New Roman" w:eastAsia="Times New Roman" w:cs="Times New Roman"/>
                <w:color w:val="000000"/>
                <w:sz w:val="24"/>
              </w:rPr>
              <w:t xml:space="preserve">2641384.46 </w:t>
            </w:r>
            <w:r>
              <w:rPr>
                <w:rFonts w:ascii="SimSun" w:hAnsi="SimSun" w:eastAsia="SimSun" w:cs="SimSun"/>
                <w:color w:val="000000"/>
                <w:sz w:val="24"/>
              </w:rPr>
              <w:t xml:space="preserve">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w:t>
            </w:r>
            <w:r>
              <w:rPr>
                <w:rFonts w:ascii="Times New Roman" w:hAnsi="Times New Roman" w:eastAsia="Times New Roman" w:cs="Times New Roman"/>
                <w:color w:val="000000"/>
                <w:sz w:val="24"/>
              </w:rPr>
              <w:t xml:space="preserve">2512604.37</w:t>
            </w:r>
            <w:r>
              <w:rPr>
                <w:rFonts w:ascii="SimSun" w:hAnsi="SimSun" w:eastAsia="SimSun" w:cs="SimSun"/>
                <w:color w:val="000000"/>
                <w:sz w:val="24"/>
              </w:rPr>
              <w:t xml:space="preserve">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注：报价超过预算价或最高限价的按无效报价处理。</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成交后，成交供应商提供四份纸质响应文件至代理机构，响应文件中须包含综合分析表。</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90天（从提交响应文件截止时间当日起算）</w:t>
            </w:r>
            <w:r/>
          </w:p>
        </w:tc>
      </w:tr>
      <w:tr>
        <w:trPr>
          <w:trHeight w:val="9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磋商响应文件提交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上传截止时间：2025年04月15日14：00（北京时间）</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地点：苏采云政府采购一体化平台</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本项目为不见面开标项目，开标阶段供应商在【供应商解密】环节必须使用 CA证书解密电子投标文件，如在系统规定的解密时间内未能完成解密的视为放弃投标（响应）。</w:t>
            </w:r>
            <w:r/>
          </w:p>
        </w:tc>
      </w:tr>
      <w:tr>
        <w:trPr>
          <w:trHeight w:val="4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响应文件开启时间：2025年04月15日14：00（北京时间）</w:t>
            </w:r>
            <w:r/>
          </w:p>
          <w:p>
            <w:pPr>
              <w:ind w:left="1"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磋商地点：苏采云政府采购一体化平台</w:t>
            </w:r>
            <w:r/>
          </w:p>
        </w:tc>
      </w:tr>
      <w:tr>
        <w:trPr>
          <w:trHeight w:val="1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询问和质疑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（1）获取磋商文件成功的磋商供应商在下载磋商文件后，对磋商文件有疑问的，可通过邮件（1214506206@qq.com）进行询问。采购代理机构通过邮件予以解答，询问人自行在邮件中查看解答信息。</w:t>
            </w:r>
            <w:r/>
          </w:p>
          <w:p>
            <w:pPr>
              <w:ind w:left="0" w:right="0" w:firstLine="0"/>
              <w:jc w:val="both"/>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认为采购文件、采购过程、成交结果使自己的权益受到损害的，可以在知道或者应知其权益受到损害之日起7个工作日内，以书面形式向采购人提出质疑。供应商须在法定质疑期内一次性提出针对同一采购程序环节的质疑。质疑函须以当面递交等法定途径送达。供应商质疑应符合政府采购质疑和投诉办法(中华人民共和国财政部令第94号)。</w:t>
            </w:r>
            <w:r/>
          </w:p>
        </w:tc>
      </w:tr>
      <w:tr>
        <w:trPr>
          <w:trHeight w:val="12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成交原则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经磋商确定最终采购需求和提交最后报价的供应商后，由磋商小组采用综合评分法对提交最后报价的供应商的响应文件和最后报价进行综合评分。</w:t>
            </w:r>
            <w:r/>
          </w:p>
        </w:tc>
      </w:tr>
      <w:tr>
        <w:trP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由成交供应商在领取成交通知书时向采购代理机构一次性付清。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收费标准：预算金额100万以下费率为预算金额的1.5%；预算金额100万元（含）－500万元部分，费率为该部分预算金额的1.1%；</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说明：代理服务费以采购预算金额为基数依据，按以上规定的标准和差额定率累进法进行计算收取。例：如预算金额为150万元，则代理服务费＝100万元以下部分×1.5%＋（150万元－100万元以下部分）×1.1%。</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代理费金额：33055元</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签订合同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成交通知书发出之日起15日内</w:t>
            </w:r>
            <w:r/>
          </w:p>
        </w:tc>
      </w:tr>
      <w:tr>
        <w:trPr>
          <w:trHeight w:val="7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不提交，采购文件中有关履约保证金的规定均不适用。</w:t>
            </w:r>
            <w:r/>
          </w:p>
        </w:tc>
      </w:tr>
      <w:tr>
        <w:trPr>
          <w:trHeight w:val="9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特别提醒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1、本项目支持网上不见面开标，供应商不需到现场参加磋商会。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本项目采用线上二次报价(及时关注系统，以防错过二次报价)，供应商应登录采购系统并在规定时间内进行线上二次报价。此处规定时间的计算以采购系统中的倒计时间为准。因供应商自身原因导致线上二次报价失败的后果由供应商自行承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3、请供应商确保电脑、系统及其他设备（视频输入输出设备等）无误，且开标直至项目结束始终保持系统在线状态。</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4、供应商如需图纸，请联系采购代理机构（如有）。</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57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p>
      <w:pPr>
        <w:ind w:left="57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pStyle w:val="765"/>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u w:val="none"/>
        </w:rPr>
        <w:t xml:space="preserve">第一章磋商邀请函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芮嘉河整治工程项目采购项目的潜在供应商应在“苏采云政府采购一体化平台”自行免费下载磋商文件，并于2025年04月15日14：00（北京时间）前提交响应文件。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采购编号：JSZC-320591-PMJS-C2026-0010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项目名称：芮嘉河整治工程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预算金额：大写贰佰陆拾肆万壹仟叁佰捌拾肆元肆角陆分（¥2641384.46元）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最高限价：大写贰佰伍拾壹万贰仟陆佰零肆元叁角柒分（¥2512604.37元）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芮嘉河整治工程位于苏州漕湖街道，包含对通苏嘉甬铁路跨河段450米河道进行清淤整治等内容。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2.施工范围及内容：施工范围为对通苏嘉甬铁路跨河段450米河道进行清淤整治等，详见工程量清单。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3.工程地点：苏州市相城区漕湖街道</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4.资金来源：财政资金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5.承包方式：包工包料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6.质量要求：合格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7.编制依据：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《水利工程工程量清单计价规范》（GB 50501-2007）、《建设工程工程量清单计价规范》（GB 50500-2013）;《江苏省水利工程预算定额建筑工程、安装工程》（2010年版）、《江苏省市政工程计价定额》（2014版）、《江苏省安装工程计价定额》（2014版）、《江苏省仿古建筑与园林工程计价表》（2007版）;《江苏省水利工程预算定额建筑工程、安装工程动态基价表》（2019年版）、《市政工程工程量计算规范》（GB 50857-2013）；《江苏省水利工程施工机械台时费定额》（2017年版）;《江苏省</w:t>
      </w:r>
      <w:r>
        <w:rPr>
          <w:rFonts w:ascii="SimSun" w:hAnsi="SimSun" w:eastAsia="SimSun" w:cs="SimSun"/>
          <w:color w:val="000000"/>
          <w:sz w:val="24"/>
        </w:rPr>
        <w:t xml:space="preserve">水利工程设计概（估）算编制规定》及有关文件取定费率（2017版）。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8.项目工程量：详见工程量清单（本项目工程量清单、工程量编制说明，请投标人自行下载）；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9.施工要求：按现行国家施工技术及验收规范规程执行，满足采购需求要求；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10.验收标准：满足采购需求要求。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合同履约期限：120个日历天（具体开工日期以采购人通知为准）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1.1具有独立承担民事责任的能力；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1.2具有良好的商业信誉和健全的财务会计制度；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1.3具有履行合同所必须的设备和专业技术能力；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1.4具有依法缴纳税收和社会保障资金的良好记录；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1.5参加政府采购活动前三年内，在经营活动中没有重大违法记录；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1.6法律、行政法规规定的其他条件。</w:t>
      </w:r>
      <w:r/>
    </w:p>
    <w:p>
      <w:pPr>
        <w:numPr>
          <w:ilvl w:val="0"/>
          <w:numId w:val="22"/>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rPr>
          <w:rFonts w:ascii="SimSun" w:hAnsi="SimSun" w:eastAsia="SimSun" w:cs="SimSun"/>
          <w:b/>
          <w:color w:val="000000"/>
          <w:sz w:val="24"/>
        </w:rPr>
        <w:t xml:space="preserve">本项目专门面向中小企业采购，所属行业为建筑业，投标单位须为中小微企业或监狱企业或残疾人福利性单位。</w:t>
      </w:r>
      <w:r/>
    </w:p>
    <w:p>
      <w:pPr>
        <w:numPr>
          <w:ilvl w:val="0"/>
          <w:numId w:val="22"/>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合格磋商磋商响应单位的特殊条件：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3.1申请人资质类别和等级：具有水利水电工程施工总承包三级及以上资质；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3.2具备安全生产条件：取得安全生产许可证；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拟选派项目经理资质等级：具有水利水电二级注册建造师及以上资质，且必须在《水利建设市场监管平台》网站落实信息申报的人员，具有水行政主管部门核发的《建筑施工企业项目负责人安全生产考核合格证书》（B类证），项目经理无在建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3.4拟派项目技术负责人、水利建造师（项目经理）、专职安全员必须具有省级及以上水行政主管部门颁发的安全生产考核合格证（A/B、B、C类）；项目技术负责人、水利建造师（项目经理）不能为同一个人；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3.5水利建造师（项目经理）、专职安全员无在建工程(在建指在其他在建项目中任职项目经理、专职安全员) ，项目技术负责人可有一个在建项目：项目经理、专职安全员有在建工程时，符合以下情形之一的，经该在建工程建设单位同意，方可以参加其他工程项目的投标。 ①水利工程其合同工程量已完成80%以上，且主体工程已完成。 ②通过水下（泵站机组启动、河道通水）验收。 ③通过合同完工验收。 ④工程项目具备合同完工验收条件，已向建设单位提交合同完工验收申请，并经建设单位确认。 ⑤因非承包方原因致使工程项目停工超过120天（含）。</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（1）根据政府采购法及相关法规，招标代理人将对供应商进行信用查询。对列入失信被执行人、重大税收违法案件当事人名单、政府采购严重违法失信行为记录名单的供应商，拒绝其参与政府采购活动。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（2）单位负责人为同一人或者存在直接控股、管理关系的不同供应商，不得参加同一合同项下的政府采购活动。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（3）为本采购项目提供整体设计、规范编制或者项目管理、监理、检测等服务的供应商，不得再参加本采购项目的其他采购活动。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三、获取采购文件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时间：磋商公告之日起5个工作日。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地点：供应商登录苏州市政府采购网站首页下侧 “苏采云-已参与项目”中，根据提示，下载招标（采购）文件。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方式：网上报名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截止时间：2025年04月15日14：00（北京时间）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地点：苏州市政府采购网站-苏采云系统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时间：2025年04月15日14：00（北京时间）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地点：苏州市政府采购网站-苏采云系统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为网上招投标项目，供应商应在“苏州市政府采购网-苏采云-项目参与-采购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2.本项目支持网上不见面开标，</w:t>
      </w:r>
      <w:r>
        <w:rPr>
          <w:rFonts w:ascii="SimSun" w:hAnsi="SimSun" w:eastAsia="SimSun" w:cs="SimSun"/>
          <w:b/>
          <w:color w:val="000000"/>
          <w:sz w:val="24"/>
        </w:rPr>
        <w:t xml:space="preserve">供应商不需到现场参加磋商会，开标阶段供应商在【供应商解密】环节必须使用 CA证书解密电子投标（响应）文件，如在系统规定的解密时间内未能完成解密的视为放弃投标（响应）。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4.线上参加（观看）开标会方式：苏州市政府采购网点击“苏采云”进入交易系统，点击“开标大厅-我的项目”，找到对应项目</w:t>
      </w:r>
      <w:r>
        <w:rPr>
          <w:rFonts w:ascii="SimSun" w:hAnsi="SimSun" w:eastAsia="SimSun" w:cs="SimSun"/>
          <w:color w:val="000000"/>
          <w:sz w:val="24"/>
          <w:highlight w:val="white"/>
        </w:rPr>
        <w:t xml:space="preserve">进入不见面开标系统</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5.请供应商确保电脑、系统及其他设备（视频输入输出设备等）无误，且开标直至项目结束始终保持系统在线状态。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6.CA办理及使用指南： 根据省财政厅《关于更换全省政府采购交易系统C A数字证书和电子签章的通知》（苏财购〔2023〕101号），“苏采云”政府采购交易系统（以下简称苏采云系统）的CA数字证书、电子签章为江苏省电子政务证书认证中心CA和方正国际软件（北京）有限公司电子签章。具体办理指南和操作手册见苏州市政府采购网苏采云登陆页面右下角点击【新CA办理指南】--江苏省政府采购数字证书（供应商)数字证书CA及电子签章办理指南。苏州现场办理地址：苏州高新区邓尉路105号狮山科技馆1楼服务大厅，咨询电话：0512-</w:t>
      </w:r>
      <w:r>
        <w:rPr>
          <w:rFonts w:ascii="SimSun" w:hAnsi="SimSun" w:eastAsia="SimSun" w:cs="SimSun"/>
          <w:color w:val="000000"/>
          <w:sz w:val="24"/>
        </w:rPr>
        <w:t xml:space="preserve">65737699。</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入“苏采云”政府采购交易系统后按照《苏采云系统供应商操作手册》（以下简称《操作手册》）、进行注册并按《操作手册》要求制作、上传电子响应文件。供应商可在采购系统中下载《苏采云系统供应商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7.考虑到熟悉苏采云系统操作需要一定的时间，请提早准备以免耽误采购活动。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应及时关注政府采购信息发布媒体上发布的更正（补充）公告，同时在苏采云系统中下载更正（补充）资料，如有遗漏（包括但不限于文件未下载或下载不完整），所造成的投标失败或损失由供应商自行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9.投标人（供应商）应自行在苏采云政府采购一体化平台上下载/获取招标（采购）文件及其澄清（答疑）、工程量清单、图纸等相关招标（采购）资料，恕不另行通知。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10.采购项目需要落实的政府采购政策：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（1）财政部、工业和信息化部《政府采购促进中小企业发展管理办法》。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（2）苏州市财政局《关于贯彻执行绿色采购、促进残疾人就业和支持监狱企业发展有关政策的通知（苏财购〔2020〕10号）》。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（3）财库【2022】19号关于进一步加大政府采购支持中小企业力度的通知。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（4）苏财购【2022】16号关于印发《苏州市政府采购促进中小企业发展实施意见》的通知。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11.成交供应商可凭政府采购合同办理融资贷款，详情请见江苏政府采购网“政采贷”专栏。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12.请贵单位领取本次采购文件后，认真阅读各项内容，进行必要的磋商准备，按文件的要求详细填写和编制响应文件。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13.苏州工业园区财政审计局电话：0512-66681110、0512-66188027</w:t>
      </w:r>
      <w:r>
        <w:rPr>
          <w:rFonts w:ascii="KaiTi" w:hAnsi="KaiTi" w:eastAsia="KaiTi" w:cs="KaiTi"/>
          <w:color w:val="000000"/>
          <w:sz w:val="26"/>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14.本次采购的有关信息将在苏州市政府采购网、江苏政府采购网、中国政府采购网</w:t>
      </w:r>
      <w:hyperlink r:id="rId19" w:tooltip="http://www.szweikang.xn--com-6y3ba7cbgc4097e4kax19cqoerohxod7w1bva254sga6035lg4sc/" w:history="1">
        <w:r>
          <w:rPr>
            <w:rStyle w:val="1035"/>
            <w:rFonts w:ascii="SimSun" w:hAnsi="SimSun" w:eastAsia="SimSun" w:cs="SimSun"/>
            <w:color w:val="0000ee"/>
            <w:sz w:val="24"/>
            <w:u w:val="single"/>
          </w:rPr>
          <w:t xml:space="preserve">上发布</w:t>
        </w:r>
      </w:hyperlink>
      <w:r>
        <w:rPr>
          <w:rFonts w:ascii="SimSun" w:hAnsi="SimSun" w:eastAsia="SimSun" w:cs="SimSun"/>
          <w:color w:val="000000"/>
          <w:sz w:val="24"/>
        </w:rPr>
        <w:t xml:space="preserve">，敬请留意。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15.技术支持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注册咨询：18261002950；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CA技术咨询电话：400-608-6099；</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签章使用问题：025-83633811、025-83633812、15380932027、15371015030；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系统使用指导与咨询：联系电话：13914088964、18261002950；QQ：3048755361、1315179389、895706745。</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八、凡对本次采购提出询问，请按以下方式联系。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1.采购人信息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名称：苏州市相城区人民政府漕湖街道办事处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地址：苏州市相城区永昌泾大道1号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联系方式：0512-69577273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联系人：朱星顺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名称：江苏京苏项目管理咨询有限公司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址：苏州工业园区东环路1400号综艺开元大厦15楼会议室1502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联系方式：0512-67256848-1647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3.项目联系</w:t>
      </w:r>
      <w:r>
        <w:rPr>
          <w:rFonts w:ascii="SimSun" w:hAnsi="SimSun" w:eastAsia="SimSun" w:cs="SimSun"/>
          <w:color w:val="000000"/>
          <w:sz w:val="24"/>
        </w:rPr>
        <w:t xml:space="preserve">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项目联系人：顾苏芯、刘金华、俞莉（项目负责人）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话：0512-67256848-1647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pStyle w:val="765"/>
        <w:ind w:left="0" w:right="0" w:firstLine="0"/>
        <w:jc w:val="both"/>
        <w:spacing w:before="12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pStyle w:val="765"/>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第二章磋商响应文件格式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对本章所有的格式，磋商供应商可根据自身情况进行补充和修改，但补充和修改不得造成与本格式内容有实质性的违背。</w:t>
      </w:r>
      <w:r/>
    </w:p>
    <w:p>
      <w:pPr>
        <w:pStyle w:val="766"/>
        <w:ind w:left="0" w:right="0" w:firstLine="0"/>
        <w:spacing w:before="0" w:after="120" w:line="85" w:lineRule="atLeast"/>
        <w:pBdr>
          <w:top w:val="none" w:color="000000" w:sz="4" w:space="0"/>
          <w:left w:val="none" w:color="000000" w:sz="4" w:space="0"/>
          <w:bottom w:val="none" w:color="000000" w:sz="4" w:space="0"/>
          <w:right w:val="none" w:color="000000" w:sz="4" w:space="0"/>
        </w:pBdr>
      </w:pPr>
      <w:r>
        <w:br w:type="page" w:clear="all"/>
      </w:r>
      <w:r/>
    </w:p>
    <w:p>
      <w:pPr>
        <w:pStyle w:val="766"/>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1、授权委托书</w:t>
      </w:r>
      <w:r/>
    </w:p>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法定代表人授权委托书</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本授权委托书声明：我</w:t>
      </w:r>
      <w:r>
        <w:rPr>
          <w:rFonts w:ascii="SimSun" w:hAnsi="SimSun" w:eastAsia="SimSun" w:cs="SimSun"/>
          <w:color w:val="000000"/>
          <w:sz w:val="24"/>
          <w:u w:val="single"/>
        </w:rPr>
        <w:t xml:space="preserve">（姓名）</w:t>
      </w:r>
      <w:r>
        <w:rPr>
          <w:rFonts w:ascii="SimSun" w:hAnsi="SimSun" w:eastAsia="SimSun" w:cs="SimSun"/>
          <w:color w:val="000000"/>
          <w:sz w:val="24"/>
        </w:rPr>
        <w:t xml:space="preserve">系</w:t>
      </w:r>
      <w:r>
        <w:rPr>
          <w:rFonts w:ascii="SimSun" w:hAnsi="SimSun" w:eastAsia="SimSun" w:cs="SimSun"/>
          <w:color w:val="000000"/>
          <w:sz w:val="24"/>
          <w:u w:val="single"/>
        </w:rPr>
        <w:t xml:space="preserve">（投标人名称）</w:t>
      </w:r>
      <w:r>
        <w:rPr>
          <w:rFonts w:ascii="SimSun" w:hAnsi="SimSun" w:eastAsia="SimSun" w:cs="SimSun"/>
          <w:color w:val="000000"/>
          <w:sz w:val="24"/>
        </w:rPr>
        <w:t xml:space="preserve">的法定代表人，现授权委托</w:t>
      </w:r>
      <w:r>
        <w:rPr>
          <w:rFonts w:ascii="SimSun" w:hAnsi="SimSun" w:eastAsia="SimSun" w:cs="SimSun"/>
          <w:color w:val="000000"/>
          <w:sz w:val="24"/>
          <w:u w:val="single"/>
        </w:rPr>
        <w:t xml:space="preserve">（姓名+手机号码+身份证号码）</w:t>
      </w:r>
      <w:r>
        <w:rPr>
          <w:rFonts w:ascii="SimSun" w:hAnsi="SimSun" w:eastAsia="SimSun" w:cs="SimSun"/>
          <w:color w:val="000000"/>
          <w:sz w:val="24"/>
        </w:rPr>
        <w:t xml:space="preserve">为我公司代理人，以本公司的名义参加</w:t>
      </w:r>
      <w:r>
        <w:rPr>
          <w:rFonts w:ascii="SimSun" w:hAnsi="SimSun" w:eastAsia="SimSun" w:cs="SimSun"/>
          <w:color w:val="000000"/>
          <w:sz w:val="24"/>
          <w:u w:val="single"/>
        </w:rPr>
        <w:t xml:space="preserve">（采购人名称）</w:t>
      </w:r>
      <w:r>
        <w:rPr>
          <w:rFonts w:ascii="SimSun" w:hAnsi="SimSun" w:eastAsia="SimSun" w:cs="SimSun"/>
          <w:color w:val="000000"/>
          <w:sz w:val="24"/>
        </w:rPr>
        <w:t xml:space="preserve">组织实施的编号为</w:t>
      </w:r>
      <w:r>
        <w:rPr>
          <w:rFonts w:ascii="SimSun" w:hAnsi="SimSun" w:eastAsia="SimSun" w:cs="SimSun"/>
          <w:color w:val="000000"/>
          <w:sz w:val="24"/>
          <w:u w:val="single"/>
        </w:rPr>
        <w:t xml:space="preserve">（采购编号）</w:t>
      </w:r>
      <w:r>
        <w:rPr>
          <w:rFonts w:ascii="SimSun" w:hAnsi="SimSun" w:eastAsia="SimSun" w:cs="SimSun"/>
          <w:color w:val="000000"/>
          <w:sz w:val="24"/>
        </w:rPr>
        <w:t xml:space="preserve"> 号的招标（采购）活动。代理人在投标、开标、评标、合同订立和履行过程中所签署的一切文件和处理与这有关的一切事务，我均予以承认。</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我司需撤销该代理人授权或更换代理人的，必须另行向贵方提交相应正式书面文件，并经贵方确认送达后方可实施。代理人在授权委托书有效期内签署的所有文件不因授权委托的撤销而失效，除非有撤销授权委托的书面通知，本授权委托书自投标开始至合同履行完毕止。</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代理人无转委托权。特此委托。  </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 标 人(盖章）：</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法定代表人（盖章或签字）：</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代理人（盖章或签字）：</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66"/>
        <w:ind w:left="0" w:right="0" w:firstLine="0"/>
        <w:spacing w:before="0" w:after="120" w:line="85" w:lineRule="atLeast"/>
        <w:pBdr>
          <w:top w:val="none" w:color="000000" w:sz="4" w:space="0"/>
          <w:left w:val="none" w:color="000000" w:sz="4" w:space="0"/>
          <w:bottom w:val="none" w:color="000000" w:sz="4" w:space="0"/>
          <w:right w:val="none" w:color="000000" w:sz="4" w:space="0"/>
        </w:pBdr>
      </w:pPr>
      <w:r>
        <w:br w:type="page" w:clear="all"/>
      </w:r>
      <w:r/>
    </w:p>
    <w:p>
      <w:pPr>
        <w:pStyle w:val="766"/>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2、磋商响应函</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磋商响应函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江苏京苏项目管理咨询有限公司：</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我们收到贵公司</w:t>
      </w:r>
      <w:r>
        <w:rPr>
          <w:rFonts w:ascii="SimSun" w:hAnsi="SimSun" w:eastAsia="SimSun" w:cs="SimSun"/>
          <w:color w:val="000000"/>
          <w:sz w:val="24"/>
          <w:u w:val="single"/>
        </w:rPr>
        <w:t xml:space="preserve">        </w:t>
      </w:r>
      <w:r>
        <w:rPr>
          <w:rFonts w:ascii="SimSun" w:hAnsi="SimSun" w:eastAsia="SimSun" w:cs="SimSun"/>
          <w:color w:val="000000"/>
          <w:sz w:val="24"/>
        </w:rPr>
        <w:t xml:space="preserve">号采购文件，经仔细阅读和研究，我们决定参加磋商活动。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1、我们愿意按照磋商采购文件的一切要求，提供本项目所有内容，我方的报价包含磋商文件要求的一切费用。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2、如果我们的磋商响应文件被接受，我们将严格履行采购文件中规定的每一项要求，按期、按质、按量履行合同的义务。</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3、我们已详细审查全部采购文件，包括更正公告(如有)。</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4、我们同意按采购文件中的规定，本磋商响应文件的有效期限为响应文件提交截止之日起90天。如果我们在开标后规定的有效期内撤回，我们愿承担一切责任。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们愿意提供磋商采购单位在采购文件中要求的所有资料，也同意向贵方提供贵方可能另外要求的与其有关的任何证据或资料，并保证所提供的资料全部是真实的、合法的、有效的，若有虚假，我们愿承担一切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6、我们愿意遵守采购文件中所列的收费标准。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7、我们承诺该磋商响应文件在磋商开始后的全过程中保持有效，不作任何更改和变动。我们同意成交后若不履行响应文件的内容要求和各项承诺及义务的即被视为违约，我们愿承担一切责任。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8、我们承诺我公司符合采购文件中“合格磋商供应商的条件”的要求，若与真实情况不符，本公司愿意承担由此而产生的一切后果。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9、我们声明：我们在参加本次政府采购活动前3年内在经营活动中没有重大违法记录。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10、如果我们成交，我们愿意在签订合同时按采购文件的规定支付代理服务费；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11、综合说明：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（1）伴随服务及配合措施；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（2）要求甲方提供的配合；</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（3）对采购文件有不同意见的偏离说明；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（4）其它说明。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12、本函填写的电子邮箱为我方在本次采购中的授权邮箱，该邮箱发至采购人或招标代理的函件无论是否签字或盖章，均视为我方的意思表示，我方均予以承认并承担相应后果。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所有有关磋商响应文件的函电，请按下列地址联系：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单位：联系人：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地址：邮政编码：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联系电话（手机号码）：电子邮箱：</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pStyle w:val="766"/>
        <w:ind w:left="0" w:right="0" w:firstLine="0"/>
        <w:spacing w:before="0" w:after="120" w:line="85" w:lineRule="atLeast"/>
        <w:pBdr>
          <w:top w:val="none" w:color="000000" w:sz="4" w:space="0"/>
          <w:left w:val="none" w:color="000000" w:sz="4" w:space="0"/>
          <w:bottom w:val="none" w:color="000000" w:sz="4" w:space="0"/>
          <w:right w:val="none" w:color="000000" w:sz="4" w:space="0"/>
        </w:pBdr>
      </w:pPr>
      <w:r>
        <w:br w:type="page" w:clear="all"/>
      </w:r>
      <w:r/>
    </w:p>
    <w:p>
      <w:pPr>
        <w:pStyle w:val="766"/>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3、磋商报价表</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磋商报价表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江苏京苏项目管理咨询有限公司：</w:t>
      </w:r>
      <w:r/>
    </w:p>
    <w:p>
      <w:pPr>
        <w:numPr>
          <w:ilvl w:val="0"/>
          <w:numId w:val="2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根据已收到的工程的磋商文件，遵照现行法律法规的有关规定，我单位经考察现场和研究磋商文件后，愿以人民币元</w:t>
      </w:r>
      <w:r>
        <w:rPr>
          <w:rFonts w:ascii="SimSun" w:hAnsi="SimSun" w:eastAsia="SimSun" w:cs="SimSun"/>
          <w:color w:val="000000"/>
          <w:sz w:val="24"/>
          <w:u w:val="single"/>
        </w:rPr>
        <w:t xml:space="preserve">（大写）（¥   ）</w:t>
      </w:r>
      <w:r>
        <w:rPr>
          <w:rFonts w:ascii="SimSun" w:hAnsi="SimSun" w:eastAsia="SimSun" w:cs="SimSun"/>
          <w:color w:val="000000"/>
          <w:sz w:val="24"/>
        </w:rPr>
        <w:t xml:space="preserve">的总价，</w:t>
      </w:r>
      <w:r>
        <w:rPr>
          <w:rFonts w:ascii="SimSun" w:hAnsi="SimSun" w:eastAsia="SimSun" w:cs="SimSun"/>
          <w:color w:val="000000"/>
          <w:sz w:val="24"/>
          <w:u w:val="single"/>
        </w:rPr>
        <w:t xml:space="preserve">税率%</w:t>
      </w:r>
      <w:r>
        <w:rPr>
          <w:rFonts w:ascii="SimSun" w:hAnsi="SimSun" w:eastAsia="SimSun" w:cs="SimSun"/>
          <w:color w:val="000000"/>
          <w:sz w:val="24"/>
        </w:rPr>
        <w:t xml:space="preserve">，按磋商文件的要求承包本次发包范围内的全部工程。我们承诺：我们的报价经过仔细测算，绝对不低于我们的成本价。在工程量不发生变更的情况下，在合同条款约定的范围内，不向发包人要求增加任何费用。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rPr>
          <w:rFonts w:ascii="SimSun" w:hAnsi="SimSun" w:eastAsia="SimSun" w:cs="SimSun"/>
          <w:color w:val="000000"/>
          <w:spacing w:val="16"/>
          <w:sz w:val="24"/>
        </w:rPr>
        <w:t xml:space="preserve">我单位拟派项目经理：</w:t>
      </w:r>
      <w:r>
        <w:rPr>
          <w:rFonts w:ascii="SimSun" w:hAnsi="SimSun" w:eastAsia="SimSun" w:cs="SimSun"/>
          <w:color w:val="000000"/>
          <w:spacing w:val="16"/>
          <w:sz w:val="24"/>
          <w:u w:val="single"/>
        </w:rPr>
        <w:t xml:space="preserve">（姓名）</w:t>
      </w:r>
      <w:r>
        <w:rPr>
          <w:rFonts w:ascii="SimSun" w:hAnsi="SimSun" w:eastAsia="SimSun" w:cs="SimSun"/>
          <w:color w:val="000000"/>
          <w:spacing w:val="16"/>
          <w:sz w:val="24"/>
        </w:rPr>
        <w:t xml:space="preserve">，资质等级：</w:t>
      </w:r>
      <w:r>
        <w:rPr>
          <w:rFonts w:ascii="SimSun" w:hAnsi="SimSun" w:eastAsia="SimSun" w:cs="SimSun"/>
          <w:color w:val="000000"/>
          <w:spacing w:val="16"/>
          <w:sz w:val="24"/>
          <w:u w:val="single"/>
        </w:rPr>
        <w:t xml:space="preserve">   </w:t>
      </w:r>
      <w:r>
        <w:rPr>
          <w:rFonts w:ascii="SimSun" w:hAnsi="SimSun" w:eastAsia="SimSun" w:cs="SimSun"/>
          <w:color w:val="000000"/>
          <w:spacing w:val="16"/>
          <w:sz w:val="24"/>
        </w:rPr>
        <w:t xml:space="preserve">级，证号:</w:t>
      </w:r>
      <w:r>
        <w:rPr>
          <w:rFonts w:ascii="SimSun" w:hAnsi="SimSun" w:eastAsia="SimSun" w:cs="SimSun"/>
          <w:color w:val="000000"/>
          <w:spacing w:val="16"/>
          <w:sz w:val="24"/>
          <w:u w:val="single"/>
        </w:rPr>
        <w:t xml:space="preserve">    </w:t>
      </w:r>
      <w:r>
        <w:rPr>
          <w:rFonts w:ascii="SimSun" w:hAnsi="SimSun" w:eastAsia="SimSun" w:cs="SimSun"/>
          <w:color w:val="000000"/>
          <w:spacing w:val="16"/>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4"/>
        </w:rPr>
        <w:t xml:space="preserve">（三）我单位保证在收到贵单位发出的书面开工令后立即开工，并在</w:t>
      </w:r>
      <w:r>
        <w:rPr>
          <w:rFonts w:ascii="SimSun" w:hAnsi="SimSun" w:eastAsia="SimSun" w:cs="SimSun"/>
          <w:color w:val="000000"/>
          <w:spacing w:val="16"/>
          <w:sz w:val="24"/>
          <w:u w:val="single"/>
        </w:rPr>
        <w:t xml:space="preserve">  </w:t>
      </w:r>
      <w:r>
        <w:rPr>
          <w:rFonts w:ascii="SimSun" w:hAnsi="SimSun" w:eastAsia="SimSun" w:cs="SimSun"/>
          <w:color w:val="000000"/>
          <w:spacing w:val="16"/>
          <w:sz w:val="24"/>
        </w:rPr>
        <w:t xml:space="preserve">天内竣工。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（四）我单位保证本工程质量达到。</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（五）贵单位的磋商文件、成交通知书和本报价文件将构成约束我们双方的合同。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法定代表人或代理人（签字或盖章）：</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66"/>
        <w:ind w:left="0" w:right="0" w:firstLine="0"/>
        <w:spacing w:before="0" w:after="120" w:line="85" w:lineRule="atLeast"/>
        <w:tabs>
          <w:tab w:val="left" w:pos="2532" w:leader="none"/>
        </w:tabs>
        <w:pBdr>
          <w:top w:val="none" w:color="000000" w:sz="4" w:space="0"/>
          <w:left w:val="none" w:color="000000" w:sz="4" w:space="0"/>
          <w:bottom w:val="none" w:color="000000" w:sz="4" w:space="0"/>
          <w:right w:val="none" w:color="000000" w:sz="4" w:space="0"/>
        </w:pBdr>
      </w:pPr>
      <w:r>
        <w:br w:type="page" w:clear="all"/>
      </w:r>
      <w:r/>
    </w:p>
    <w:p>
      <w:pPr>
        <w:pStyle w:val="766"/>
        <w:ind w:left="0" w:right="0" w:firstLine="0"/>
        <w:spacing w:before="0" w:after="120" w:line="85" w:lineRule="atLeast"/>
        <w:tabs>
          <w:tab w:val="left" w:pos="253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4、偏离表</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商务技术条款偏离表</w:t>
      </w:r>
      <w:r/>
    </w:p>
    <w:tbl>
      <w:tblPr>
        <w:tblStyle w:val="79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9"/>
        <w:gridCol w:w="1921"/>
        <w:gridCol w:w="2401"/>
        <w:gridCol w:w="2401"/>
        <w:gridCol w:w="1043"/>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采购文件条目号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采购文件的商务条款</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响应文件的商务条款</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p>
    <w:p>
      <w:pPr>
        <w:ind w:left="57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pStyle w:val="766"/>
        <w:ind w:left="0" w:right="0" w:firstLine="0"/>
        <w:spacing w:before="0" w:after="120" w:line="85" w:lineRule="atLeast"/>
        <w:pBdr>
          <w:top w:val="none" w:color="000000" w:sz="4" w:space="0"/>
          <w:left w:val="none" w:color="000000" w:sz="4" w:space="0"/>
          <w:bottom w:val="none" w:color="000000" w:sz="4" w:space="0"/>
          <w:right w:val="none" w:color="000000" w:sz="4" w:space="0"/>
        </w:pBdr>
      </w:pPr>
      <w:r>
        <w:br w:type="page" w:clear="all"/>
      </w:r>
      <w:r/>
    </w:p>
    <w:p>
      <w:pPr>
        <w:pStyle w:val="766"/>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5、施工组织机构及现场施工人员名单</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施工组织机构人员名单</w:t>
      </w:r>
      <w:r/>
    </w:p>
    <w:tbl>
      <w:tblPr>
        <w:tblStyle w:val="79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5"/>
        <w:gridCol w:w="1683"/>
        <w:gridCol w:w="878"/>
        <w:gridCol w:w="1684"/>
        <w:gridCol w:w="1525"/>
        <w:gridCol w:w="1684"/>
        <w:gridCol w:w="11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拟在本项目中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担任的职务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执业资格证或上岗证书等</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主要资历和项目施工经历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注：1、成交后，项目组人员配备应按本表承诺实施，不经采购单位事先书面同意，不得擅自更换。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pStyle w:val="766"/>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pStyle w:val="766"/>
        <w:ind w:left="0" w:right="0" w:firstLine="0"/>
        <w:spacing w:before="0" w:after="120" w:line="85" w:lineRule="atLeast"/>
        <w:pBdr>
          <w:top w:val="none" w:color="000000" w:sz="4" w:space="0"/>
          <w:left w:val="none" w:color="000000" w:sz="4" w:space="0"/>
          <w:bottom w:val="none" w:color="000000" w:sz="4" w:space="0"/>
          <w:right w:val="none" w:color="000000" w:sz="4" w:space="0"/>
        </w:pBdr>
      </w:pPr>
      <w:r>
        <w:br w:type="page" w:clear="all"/>
      </w:r>
      <w:r/>
    </w:p>
    <w:p>
      <w:pPr>
        <w:pStyle w:val="766"/>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6、类似业绩一览表</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类似业绩一览表</w:t>
      </w:r>
      <w:r/>
    </w:p>
    <w:tbl>
      <w:tblPr>
        <w:tblStyle w:val="79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6"/>
        <w:gridCol w:w="2077"/>
        <w:gridCol w:w="1363"/>
        <w:gridCol w:w="1676"/>
        <w:gridCol w:w="1651"/>
        <w:gridCol w:w="847"/>
      </w:tblGrid>
      <w:tr>
        <w:trPr>
          <w:trHeight w:val="7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5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07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项目名称及简介</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采购单位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合同签订日期</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4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8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396"/>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pStyle w:val="766"/>
        <w:ind w:left="0" w:right="0" w:firstLine="0"/>
        <w:spacing w:before="0" w:after="120" w:line="85" w:lineRule="atLeast"/>
        <w:pBdr>
          <w:top w:val="none" w:color="000000" w:sz="4" w:space="0"/>
          <w:left w:val="none" w:color="000000" w:sz="4" w:space="0"/>
          <w:bottom w:val="none" w:color="000000" w:sz="4" w:space="0"/>
          <w:right w:val="none" w:color="000000" w:sz="4" w:space="0"/>
        </w:pBdr>
      </w:pPr>
      <w:r>
        <w:br w:type="page" w:clear="all"/>
      </w:r>
      <w:r/>
    </w:p>
    <w:p>
      <w:pPr>
        <w:pStyle w:val="766"/>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7、中小企业声明函</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中小企业声明函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______________________：</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采购活动，工程的施工单位全部为符合政策要求的中小企业。具体情况如下：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建筑业</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 ，属于</w:t>
      </w:r>
      <w:r>
        <w:rPr>
          <w:rFonts w:ascii="SimSun" w:hAnsi="SimSun" w:eastAsia="SimSun" w:cs="SimSun"/>
          <w:color w:val="000000"/>
          <w:sz w:val="24"/>
          <w:u w:val="single"/>
        </w:rPr>
        <w:t xml:space="preserve">（中型企业、小型企业、微型企业,</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三者选一）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企业名称（盖章）： </w:t>
      </w:r>
      <w:r/>
    </w:p>
    <w:p>
      <w:pPr>
        <w:ind w:left="0" w:right="49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numPr>
          <w:ilvl w:val="0"/>
          <w:numId w:val="24"/>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提供的中小企业声明函必须将盖有公章（实体公章，非电子章）的彩色扫描件上传至电子投标文件中，</w:t>
      </w:r>
      <w:r>
        <w:rPr>
          <w:rFonts w:ascii="SimSun" w:hAnsi="SimSun" w:eastAsia="SimSun" w:cs="SimSun"/>
          <w:b/>
          <w:color w:val="000000"/>
          <w:sz w:val="24"/>
          <w:u w:val="none"/>
        </w:rPr>
        <w:t xml:space="preserve">否则不享受相应政府采购政策</w:t>
      </w:r>
      <w:r>
        <w:rPr>
          <w:rFonts w:ascii="SimSun" w:hAnsi="SimSun" w:eastAsia="SimSun" w:cs="SimSun"/>
          <w:b/>
          <w:color w:val="000000"/>
          <w:sz w:val="24"/>
          <w:u w:val="single"/>
        </w:rPr>
        <w:t xml:space="preserve">或视为不响应。</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2、如供应商认定本企业为小型或微型企业，则需根据“工信部联企业〔2011〕300号”通知中的《中小企业划型标准规定》填报“中小企业声明函”。</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3、从业人员、营业收入、资产总额填报上一年度数据，无上一年度数据的新成立企业可不填报。</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4、中小企业划分标准详见“工信部联企业〔2011〕300号通知中的《中小企业划型标准规定》”。</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5、《中小企业声明函》中所填的行业应与本采购标的对应的中小企业划分标准所属行业一致，不一致的不可享受相应政策优惠。</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6、如未对（中型企业、小型企业、微型企业）进行勾选，视同非中小微企业，不可享受相应扶持政策。</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7、成交单位为中小微企业的，《中小企业声明函》将随成交结果同时公告。</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8、未尽事宜按照《苏州市政府采购促进中小企业发展实施意见》执行。</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9、若供应商提供的“中小企业声明函”内容不实的，属于提供虚假材料谋取中标、成交，依照《中华人民共和国政府采购法》等国家有关规定追究相应责任。</w:t>
      </w:r>
      <w:r/>
    </w:p>
    <w:p>
      <w:pPr>
        <w:pStyle w:val="766"/>
        <w:ind w:left="0" w:right="0" w:firstLine="0"/>
        <w:spacing w:before="0" w:after="120" w:line="85" w:lineRule="atLeast"/>
        <w:pBdr>
          <w:top w:val="none" w:color="000000" w:sz="4" w:space="0"/>
          <w:left w:val="none" w:color="000000" w:sz="4" w:space="0"/>
          <w:bottom w:val="none" w:color="000000" w:sz="4" w:space="0"/>
          <w:right w:val="none" w:color="000000" w:sz="4" w:space="0"/>
        </w:pBdr>
      </w:pPr>
      <w:r>
        <w:br w:type="page" w:clear="all"/>
      </w:r>
      <w:r/>
    </w:p>
    <w:p>
      <w:pPr>
        <w:pStyle w:val="766"/>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8、残疾人福利性单位声明函</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残疾人福利性单位声明函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注：未提供或者提供的残疾人福利性单位声明函未加盖有公章（鲜章，非电子章）的彩色扫描件上传至电子投标文件中的不享受相应政策优惠。</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66"/>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9、</w:t>
      </w:r>
      <w:r>
        <w:rPr>
          <w:rFonts w:ascii="SimSun" w:hAnsi="SimSun" w:eastAsia="SimSun" w:cs="SimSun"/>
          <w:b/>
          <w:color w:val="000000"/>
          <w:sz w:val="24"/>
        </w:rPr>
        <w:t xml:space="preserve">资格证明文件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(1)关于资格文件的声明函</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关于资格文件的声明函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江苏京苏项目管理咨询有限公司：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愿就由贵公司组织实施的编号为______号的磋商采购活动进行响应。本公司所提交的响应文件中所有关于磋商资格的文件、证明和陈述均是真实的、准确的。若与真实情况不符，本公司愿意承担由此而产生的一切后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r>
      <w:r/>
    </w:p>
    <w:p>
      <w:pPr>
        <w:numPr>
          <w:ilvl w:val="0"/>
          <w:numId w:val="25"/>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br w:type="page" w:clear="all"/>
      </w:r>
      <w:r/>
    </w:p>
    <w:p>
      <w:pPr>
        <w:numPr>
          <w:ilvl w:val="0"/>
          <w:numId w:val="25"/>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磋商响应单位情况表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响应单位（盖章）：</w:t>
      </w:r>
      <w:r/>
    </w:p>
    <w:tbl>
      <w:tblPr>
        <w:tblStyle w:val="79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87"/>
        <w:gridCol w:w="1973"/>
        <w:gridCol w:w="1524"/>
        <w:gridCol w:w="1991"/>
        <w:gridCol w:w="1195"/>
      </w:tblGrid>
      <w:tr>
        <w:trPr>
          <w:trHeight w:val="48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7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成立日期</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8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注册资本</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6" w:type="dxa"/>
            <w:vAlign w:val="top"/>
            <w:textDirection w:val="lrTb"/>
            <w:noWrap/>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职工人数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其中：有中高级以上职称的人数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资产总计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净资产</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6" w:type="dxa"/>
            <w:vAlign w:val="center"/>
            <w:textDirection w:val="lrTb"/>
            <w:noWrap/>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r>
      <w:tr>
        <w:trPr>
          <w:trHeight w:val="6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股东权益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销售收入</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6" w:type="dxa"/>
            <w:vAlign w:val="center"/>
            <w:textDirection w:val="lrTb"/>
            <w:noWrap/>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万元</w:t>
            </w:r>
            <w:r/>
          </w:p>
        </w:tc>
      </w:tr>
      <w:tr>
        <w:trPr>
          <w:trHeight w:val="5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实现利润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3" w:type="dxa"/>
            <w:vAlign w:val="top"/>
            <w:textDirection w:val="lrTb"/>
            <w:noWrap/>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营业面积（含厂房面积）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平方米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自有面积         平方米</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承租面积         平方米</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单位简历及内设机构情况</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单位优势及特长</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近三年来完成或正在履行的重大合同情况</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最近2年内在经营过程中受到何种奖励或处分（包括稽查情况和结果）</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8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最近3年内有无因售假、售劣或是其他原因被消费者投诉或起诉的情况及说明（包括解决方式和结果）</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最近3年内主要负责人有无因经济犯罪被司法机关追究的情况及说明</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获得技术认证的工程师及简介</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其他需要说明的情况</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（3）供应商与其他单位存在控股、管理关系情况表</w:t>
      </w:r>
      <w:r/>
    </w:p>
    <w:tbl>
      <w:tblPr>
        <w:tblStyle w:val="79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38"/>
        <w:gridCol w:w="4481"/>
      </w:tblGrid>
      <w:tr>
        <w:trPr>
          <w:trHeight w:val="7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8"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供应商与其他单位存在控股、管理关系的单位名称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81"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控股、管理关系情况说明</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38"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81"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38"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81"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38"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81"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8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38"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81"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spacing w:before="100" w:after="10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注：响应单位应当按实填写所有与之有控股、管理关系的情况。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6"/>
        </w:rPr>
        <w:t xml:space="preserve"> </w:t>
      </w:r>
      <w:r/>
    </w:p>
    <w:p>
      <w:pPr>
        <w:ind w:left="52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 </w:t>
      </w:r>
      <w:r/>
    </w:p>
    <w:p>
      <w:pPr>
        <w:ind w:left="52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 </w:t>
      </w:r>
      <w:r/>
    </w:p>
    <w:p>
      <w:pPr>
        <w:ind w:left="52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 </w:t>
      </w:r>
      <w:r/>
    </w:p>
    <w:p>
      <w:pPr>
        <w:ind w:left="52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 </w:t>
      </w:r>
      <w:r/>
    </w:p>
    <w:p>
      <w:pPr>
        <w:ind w:left="52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 </w:t>
      </w:r>
      <w:r/>
    </w:p>
    <w:p>
      <w:pPr>
        <w:ind w:left="52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pStyle w:val="765"/>
        <w:numPr>
          <w:ilvl w:val="0"/>
          <w:numId w:val="26"/>
        </w:numP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无在建工程声明函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无在建工程声明函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江苏京苏项目管理咨询有限公司：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本公司愿就由贵公司组织实施的编号为</w:t>
      </w:r>
      <w:r>
        <w:rPr>
          <w:rFonts w:ascii="SimSun" w:hAnsi="SimSun" w:eastAsia="SimSun" w:cs="SimSun"/>
          <w:color w:val="000000"/>
          <w:sz w:val="24"/>
          <w:u w:val="single"/>
        </w:rPr>
        <w:t xml:space="preserve">     </w:t>
      </w:r>
      <w:r>
        <w:rPr>
          <w:rFonts w:ascii="SimSun" w:hAnsi="SimSun" w:eastAsia="SimSun" w:cs="SimSun"/>
          <w:color w:val="000000"/>
          <w:sz w:val="24"/>
        </w:rPr>
        <w:t xml:space="preserve">号的磋商采购活动进行响应。本公司拟派的项目经理</w:t>
      </w:r>
      <w:r>
        <w:rPr>
          <w:rFonts w:ascii="SimSun" w:hAnsi="SimSun" w:eastAsia="SimSun" w:cs="SimSun"/>
          <w:color w:val="000000"/>
          <w:sz w:val="24"/>
          <w:u w:val="single"/>
        </w:rPr>
        <w:t xml:space="preserve">（姓名），资质等级，证书号</w:t>
      </w:r>
      <w:r>
        <w:rPr>
          <w:rFonts w:ascii="SimSun" w:hAnsi="SimSun" w:eastAsia="SimSun" w:cs="SimSun"/>
          <w:color w:val="000000"/>
          <w:sz w:val="24"/>
        </w:rPr>
        <w:t xml:space="preserve">，安全员</w:t>
      </w:r>
      <w:r>
        <w:rPr>
          <w:rFonts w:ascii="SimSun" w:hAnsi="SimSun" w:eastAsia="SimSun" w:cs="SimSun"/>
          <w:color w:val="000000"/>
          <w:sz w:val="24"/>
          <w:u w:val="single"/>
        </w:rPr>
        <w:t xml:space="preserve">（姓名），证书号，</w:t>
      </w:r>
      <w:r>
        <w:rPr>
          <w:rFonts w:ascii="SimSun" w:hAnsi="SimSun" w:eastAsia="SimSun" w:cs="SimSun"/>
          <w:color w:val="000000"/>
          <w:sz w:val="24"/>
        </w:rPr>
        <w:t xml:space="preserve">无在建工程，在建工程执行江苏省水利厅文件“苏水基[2016]17号”规定）。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若与真实情况不符，本公司愿意承担由此而产生的一切后果。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法定代表人或代理人（签字或盖章）：</w:t>
      </w:r>
      <w:r/>
    </w:p>
    <w:p>
      <w:pPr>
        <w:ind w:left="0" w:right="1560" w:firstLine="480"/>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66"/>
        <w:ind w:left="0" w:right="0" w:firstLine="0"/>
        <w:jc w:val="center"/>
        <w:spacing w:before="0" w:after="120" w:line="85" w:lineRule="atLeast"/>
        <w:pBdr>
          <w:top w:val="none" w:color="000000" w:sz="4" w:space="0"/>
          <w:left w:val="none" w:color="000000" w:sz="4" w:space="0"/>
          <w:bottom w:val="none" w:color="000000" w:sz="4" w:space="0"/>
          <w:right w:val="none" w:color="000000" w:sz="4" w:space="0"/>
        </w:pBdr>
      </w:pPr>
      <w:r>
        <w:br w:type="page" w:clear="all"/>
      </w:r>
      <w:r/>
    </w:p>
    <w:p>
      <w:pPr>
        <w:pStyle w:val="766"/>
        <w:ind w:left="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第三章 采购内容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江苏京苏项目管理咨询有限公司受苏州市相城区人民政府漕湖街道办事处的委托，就其所需芮嘉河整治工程项目采用竞争性磋商方式进行采购，欢迎有资格的供应商前来参加本次磋商采购活动。</w:t>
      </w:r>
      <w:r/>
    </w:p>
    <w:p>
      <w:pPr>
        <w:numPr>
          <w:ilvl w:val="0"/>
          <w:numId w:val="2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采购编号：JSZC-320591-PMJS-C2026-0010</w:t>
      </w:r>
      <w:r/>
    </w:p>
    <w:p>
      <w:pPr>
        <w:numPr>
          <w:ilvl w:val="0"/>
          <w:numId w:val="2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采购项目：芮嘉河整治工程</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三、采购需求：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1、工程概况：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施工范围及内容：施工范围为芮嘉河整治工程项目，包含对通苏嘉甬铁路跨河段450米河道进行清淤整治等内容，工程内容详见工程量清单、工程量编制说明。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工程地点：苏州市相城区漕湖街道；</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资金来源：财政资金；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承包方式：包工包料；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w:t>
      </w:r>
      <w:r>
        <w:rPr>
          <w:rFonts w:ascii="SimSun" w:hAnsi="SimSun" w:eastAsia="SimSun" w:cs="SimSun"/>
          <w:color w:val="000000"/>
          <w:sz w:val="24"/>
          <w:highlight w:val="yellow"/>
        </w:rPr>
        <w:t xml:space="preserve">120个日历天（具体开工日期以采购人通知为准）</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质量要求：合格；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2、编制依据：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《水利工程工程量清单计价规范》（GB 50501-2007）、《建设工程工程量清单计价规范》（GB 50500-2013）;《江苏省水利工程预算定额建筑工程、安装工程》（2010年版）、《江苏省市政工程计价定额》（2014版）、《江苏省安装工程计价定额》（2014版）、《江苏省仿古建筑与园林工程计价表》（2007版）;《江苏省水利工程预算定额建筑工程、安装工程动态基价表》（2019年版）、《市政工程工程量计算规范》（GB 50857-2013）；《江苏省水利工程施工机械台时费定额》（2017年版）;《江苏省</w:t>
      </w:r>
      <w:r>
        <w:rPr>
          <w:rFonts w:ascii="SimSun" w:hAnsi="SimSun" w:eastAsia="SimSun" w:cs="SimSun"/>
          <w:color w:val="000000"/>
          <w:sz w:val="24"/>
        </w:rPr>
        <w:t xml:space="preserve">水利工程设计概（估）算编制规定》及有关文件取定费率（2017版）。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项目工程量：详见工程量清单及工程量编制说明（本项目工程量清单、工程量编制说明，请投标人自行下载）；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（1）按采购文件、工程量清单等资料组织改造施工；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（2）施工质量应符合现行国家施工技术及验收规范规程；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4、施工组织设计方案要求：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要求组织改造施工，施工组织设计内容包括但不限于总体概述、进度计划、施工方案应科学合理。劳动力配备合理，工作任务明确，人员组织到位。机械设备投入符合项目要求，有详尽的计划，项目实施进度、时间，关键节点科学合理。安全文明施工措施科学、合理、操作性强，沟通和解决机制简单有效，给出验收条件明晰、措施合理。重难点分析应切合实际，详尽到位。</w:t>
      </w:r>
      <w:r/>
    </w:p>
    <w:p>
      <w:pPr>
        <w:numPr>
          <w:ilvl w:val="0"/>
          <w:numId w:val="2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验收标准：满足采购需求要求。</w:t>
      </w:r>
      <w:r/>
    </w:p>
    <w:p>
      <w:pPr>
        <w:numPr>
          <w:ilvl w:val="0"/>
          <w:numId w:val="2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需配置项目经理、项目技术负责人、专职安全员，项目技术负责人可有一个在建项目，项目经理及专职安全员应无在建工程，响应文件中提供承诺函；项目组配置成员在响应文件中提供身份证及社保扫描件，否则视为不实质性响应采购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四、报价说明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1、报价方式：本工程项目采用下列第</w:t>
      </w:r>
      <w:r>
        <w:rPr>
          <w:rFonts w:ascii="SimSun" w:hAnsi="SimSun" w:eastAsia="SimSun" w:cs="SimSun"/>
          <w:color w:val="000000"/>
          <w:sz w:val="24"/>
          <w:u w:val="single"/>
        </w:rPr>
        <w:t xml:space="preserve"> （2）</w:t>
      </w:r>
      <w:r>
        <w:rPr>
          <w:rFonts w:ascii="SimSun" w:hAnsi="SimSun" w:eastAsia="SimSun" w:cs="SimSun"/>
          <w:color w:val="000000"/>
          <w:sz w:val="24"/>
        </w:rPr>
        <w:t xml:space="preserve"> 种报价方式。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（1）固定总价报价。竞争报价人应充分考虑施工期间各类建材市场价格变化，政策性调整的风险，一旦经评审确定承包人，报价不作调整。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固定单价报价。磋商供应商应充分考虑施工期间各类建材的市场风险和国家政策性调整风险系数，具体按照国家和苏州市相关文件执行。本工程的具体结算方式在合同专用条款中约定。执行固定单价报价的基本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磋商供应商报价时，必须按统一的工程量清单报价。成交后，本工程工程量清单各子目综合单价的确定方式为：以供应商首轮报价清单各子目综合单价为基准，按其成交价与首轮报价相比的下浮系数同比例下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（2.2）本工程追加费用不得超过原合同金额的10%；原合同金额10%以内的追加费用，限于原合同内工程清单数量调整增加的工程费用，原合同外工程内容不得计入。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（2.3）本工程在磋商文件中已明确的各项施工措施项目，除工程变更引起施工方案改变外，承包人不得以招标工程措施项目清单缺项为由要求新增措施项目。 </w:t>
      </w:r>
      <w:r/>
    </w:p>
    <w:p>
      <w:pPr>
        <w:ind w:left="0" w:right="0" w:firstLine="5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工程变更实行“先报批后实施”的原则：工程变更实施前应完成工程变更方案报批手续，工程变更实施完成后，应及时办理工程变更（费用）报批手续。工程变更管理按苏州市相城区人民政府漕湖街道办事处文件--苏园唯办（2019）30号文件要求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（2.5）合同备案要求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需办理施工许可证等相关工程监管手续的小额工程项目，除了需在苏采云系统进行合同备案外，还需凭政府采购成交通知书至项目所在地的住建招标部门按要求进行项目登记、合同备案等工作，否则无法办理相关工程监管手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（2.5.2）无需办理施工许可证等相关工程监管手续的小额工程项目，只需在苏采云系统进行合同备案即可。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2、磋商报价时，不可竞争费用均按规定计算，不得让利或随意调整计算标准，否则报价无效。规费费率详见工程量清单。磋商单位不得将不可竞争费用降低标准收取，不可竞争费费率详见工程量清单。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3、规费费率详见工程量清单。江苏省安全文明施工措施费应放在措施项目清单中（计取基本费、扬尘污染防治增加费）。投标人不得将不可磋商费用降低标准收取，不可磋商费费率详见工程量清单。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4、计价格式中列明的所有需要填报的单价和合价，竞争人均需填报，未填报的单价和合价，视为此项费用已包含在工程量清单的其他单价和合价中。</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六、响应文件的组成及要求：</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（一）文件组成（部分格式见第二章）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1、磋商响应函；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2、授权委托书（如有授权）；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3、磋商报价表、开标一览表；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4、已标价工程量清单（按《建设工程工程量清单计价规范》（GB50500-2013）提供）；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5、《中小企业声明函》或残疾人福利性单位声明函或省级以上监狱管理局、戒毒管理局（含新疆生产建设兵团）出具的属于监狱企业的证明文件扫描件；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注：未提供、未按要求提供或者提供的中小企业声明函或残疾人福利性单位声明函未加盖有公章的彩色扫描件上传至电子投标文件中的不享受相关政策。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6、关于资格文件的声明函；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7、磋商响应单位情况表，供应商与其他单位存在控股、管理关系情况表；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8、磋商响应单位法定代表人身份证扫描件；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9、磋商响应单位代理人身份证扫描件（如有授权）；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10、《商务条款偏离表》；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11、其他采购文件中实质性响应中的内容；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12、供应商一般资格条件证明文件：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①具有独立承担民事责任的能力：包括法人或者其他组织的营业执照等证明文件，自然人身份证明；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②具有良好的商业信誉和健全的财务会计制度：包括但不限于最近一期经审计的财务报告或其基本开户银行出具的资信证明，其他组织、自然人及成立未满一年的法人应提供银行出具的资信证明；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③具有履行合同所必需的设备和专业技术能力证明资料或声明函；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有依法缴纳税收和社会保障资金的良好记录:投标截止时间前六个月内依法缴纳税收的凭据，如为依法免税或不需要缴纳的，投标人则须提供对应证明资料，否则不予认可；社会保险登记证（如有）和投标截止时间前六个月内依法缴纳社会保险的凭据（专用收据或社会保险缴纳清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⑤参加政府采购活动近三年内，在经营活动中没有重大违法记录的书面声明函（格式自拟）；</w:t>
      </w:r>
      <w:r/>
    </w:p>
    <w:p>
      <w:pPr>
        <w:ind w:left="142"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13、供应商特殊资格条件证明文件：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（1）磋商供应商具有水利水电工程施工总承包三级及以上资质扫描件；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（2）磋商供应商具备安全生产条件：安全生产许可证扫描件；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（3）拟选派项目经理水利水电二级注册建造师及以上资质证书扫描件、水行政主管部门颁发的安全生产考核合格证（B类）扫描件及响应单位为其缴纳社保证明扫描件；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（4）专职安全员具有水行政主管部门颁发的安全生产考核合格证（C类）扫描件及响应单位为其缴纳社保证明扫描件；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（5）项目经理及专职安全员无在建工程承诺书；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14、类似业绩一览表及相关附件；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15、施工组织设计；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16、施工组织机构人员名单；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17、采购文件要求提供的其他资料及响应单位认为应提交的资料。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注：磋商供应商应提供“响应文件组成及要求”中1-13项文件，否则视为未实质性响应磋商文件。</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（二）电子磋商响应文件编制及提交：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为网上招投标项目，供应商应登陆苏采云系统、线上获取招标（采购）文件，线上获取更正（补充）文件、对投标（响应）文件进行电子签章、线上递交投标（响应）文件；应使用电子投标文件制作工具制作电子版投标（响应）文件。</w:t>
      </w:r>
      <w:r>
        <w:rPr>
          <w:rFonts w:ascii="SimSun" w:hAnsi="SimSun" w:eastAsia="SimSun" w:cs="SimSun"/>
          <w:b/>
          <w:color w:val="000000"/>
          <w:sz w:val="24"/>
        </w:rPr>
        <w:t xml:space="preserve">电子投标（响应）文件制作完成后请于上传截止前成功上传，未按要求线上递交电子投标（响应）文件将被拒收。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2、电子投标（响应）文件制作工具下载：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电子投标文件制作工具下载：详见苏州市政府采购网-苏采云登陆页面右下角点击驱动下载。使用指南见《苏采云系统供应商操作手册》。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3、电子投标（响应）文件制作与提交：</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供应商根据《苏采云系统供应商操作手册》进行操作。制作电子投标文件时必须与投标文件制作软件目录一一对应，将相关资料上传至相应模块。</w:t>
      </w:r>
      <w:r>
        <w:rPr>
          <w:rFonts w:ascii="SimSun" w:hAnsi="SimSun" w:eastAsia="SimSun" w:cs="SimSun"/>
          <w:b/>
          <w:color w:val="000000"/>
          <w:sz w:val="24"/>
        </w:rPr>
        <w:t xml:space="preserve">需对投标（响应）文件中涉及的扫描件（复印件）及需要加盖公章的部分进行签章，否则视为未提供相对应项。</w:t>
      </w:r>
      <w:r/>
    </w:p>
    <w:p>
      <w:pPr>
        <w:ind w:left="42"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4、投标（响应）文件制作完成后导出投标（响应）文件，在“参与详情”页面上传已制作完成的投标（响应）文件。</w:t>
      </w:r>
      <w:r/>
    </w:p>
    <w:p>
      <w:pPr>
        <w:ind w:left="42"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5、投标（响应）文件提交后，供应商可通过模拟解密操作检测投标（响应）文件是否可以正常解密。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6、</w:t>
      </w:r>
      <w:r>
        <w:rPr>
          <w:rFonts w:ascii="SimSun" w:hAnsi="SimSun" w:eastAsia="SimSun" w:cs="SimSun"/>
          <w:b/>
          <w:color w:val="000000"/>
          <w:sz w:val="24"/>
          <w:u w:val="single"/>
        </w:rPr>
        <w:t xml:space="preserve">因本章“六、响应文件的组成及要求”要求的中小企业声明函、残疾人福利性单位声明函要求的文件需在成交公告时对外公示，故磋商供应商如涉及需要提供“六、响应文件的组成及要求”要求的中小企业声明函、残疾人福利性单位声明函的文件时，必须将签章上传至电子投标文件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7、供应商应在采购系统中选择已制作好的响应文件进行上传，上传必须在投标（响应）截止时间前完成。</w:t>
      </w:r>
      <w:r>
        <w:rPr>
          <w:rFonts w:ascii="SimSun" w:hAnsi="SimSun" w:eastAsia="SimSun" w:cs="SimSun"/>
          <w:b/>
          <w:color w:val="000000"/>
          <w:sz w:val="24"/>
        </w:rPr>
        <w:t xml:space="preserve">未按要求成功上传的投标（响应）文件视为未递交。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8、联合体投标：本项目不涉及。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如招标（采购）公告中允许联合体投标，联合体投标的投标（响应）文件制作上传操作如下：</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第一步：在投标（响应）文件中上传联合体投标协议书。</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w:t>
      </w:r>
      <w:r>
        <w:rPr>
          <w:rFonts w:ascii="KaiTi" w:hAnsi="KaiTi" w:eastAsia="KaiTi" w:cs="KaiTi"/>
          <w:color w:val="000000"/>
          <w:sz w:val="24"/>
        </w:rPr>
        <w:t xml:space="preserve">：</w:t>
      </w:r>
      <w:r>
        <w:rPr>
          <w:rFonts w:ascii="SimSun" w:hAnsi="SimSun" w:eastAsia="SimSun" w:cs="SimSun"/>
          <w:color w:val="000000"/>
          <w:sz w:val="24"/>
        </w:rPr>
        <w:t xml:space="preserve">在投标（响应）文件中，由联合体中的牵头人制作投标（响应）文件。</w:t>
      </w:r>
      <w:r/>
    </w:p>
    <w:p>
      <w:pPr>
        <w:ind w:left="0" w:right="0" w:firstLine="482"/>
        <w:jc w:val="both"/>
        <w:spacing w:before="0" w:after="0" w:line="85" w:lineRule="atLeast"/>
        <w:tabs>
          <w:tab w:val="left" w:pos="5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备注：响应文件中的CA证书签章为有效签名章。</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（三）报价（编制）要求的说明</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1、根据提供的磋商文件、工程量清单及有关资料单独编制相关项目实施的磋商报价并汇总填入《已标价工程量清单》；</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2、磋商报价明细中标的物顺序和数量均应按本磋商文件提供的采购清单顺序和数量。如发现响应报价中有错算现象，一旦成交，磋商供应商自行承担错算这部分的经济损失。</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3、供应商应对磋商文件内所要采购的全部内容进行报价，只响应其中部分内容者，其响应文件将被拒绝。</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4、一项响应内容只允许一个报价，采购人不接受任何有选择性的响应报价。</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5、响应文件中报价全部采用人民币表示，除非合同的特殊条款另有规定。</w:t>
      </w:r>
      <w:r/>
    </w:p>
    <w:p>
      <w:pPr>
        <w:ind w:left="0" w:right="0" w:firstLine="482"/>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七、磋商程序</w:t>
      </w:r>
      <w:r/>
    </w:p>
    <w:p>
      <w:pPr>
        <w:ind w:left="0" w:right="0" w:firstLine="4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rPr>
        <w:t xml:space="preserve">供应商不需到现场参加开标会</w:t>
      </w:r>
      <w:r>
        <w:rPr>
          <w:rFonts w:ascii="SimSun" w:hAnsi="SimSun" w:eastAsia="SimSun" w:cs="SimSun"/>
          <w:b/>
          <w:color w:val="000000"/>
          <w:sz w:val="24"/>
          <w:u w:val="single"/>
        </w:rPr>
        <w:t xml:space="preserve">(但请及时关注系统公告栏及语音播报，以防错过二次报价)。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2、线上参加（观看）开标会方式：苏州市政府采购网点击“苏采云”进入交易系统，点击“开标大厅-我的项目”，找到对应项目进行线上参加（观看）。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3、开标时，供应商的响应文件须在供应商解密环节进行解密，在解密时长倒计时结束前，供应商需解密完成，否则视为放弃本次投标（磋商）。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解密完成后，供应商可通过查看“磋商响应”菜单查看是否被邀请磋商。供应商进入采购包磋商列表界面，点击【响应】按钮进行响应。页面弹出磋商要求函，供应商需要在倒计时结束后，点击【我知道了】，完善磋商回复栏内容后，进行签章提交。开标大厅显示“立即报价”后，供应商须在报价结束时间前进行报价，报价结束时间未进行报价，则视为放弃报价。报价结束时间前可修改最后报价，点击【修改报价】按钮进行修改，倒计时结束后，点击我知道了。最后报价结束，若需要修改报价信息，可在剩余时间之内进行撤销，重新报价。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5、开评审结果会在通过采购系统告知供应商，请供应商及时查看，否则导致的对供应商不利的后果由供应商自行承担。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6、本项目采用线上澄清：</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评审中需要供应商进行澄清的通知会通过苏采云系统发出，供应商应及时登录采购系统查看澄清要求并在规定的时间内按要求进行线上答复，否则磋商小组有权视为不实质性响应。</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有关澄清的答复应在系统内采用书面形式，该书面签复应有投标人签(盖)章，并将作为投标内容的一部分。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线上澄清答复的方式：当发起答疑澄清时，页面弹出处理答疑澄清消息菜单，点击反馈进入-点击【响应】-填写询问响应内容后，进行询问响应函签章。</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评审结束后系统公告中会提示评审流程结束，供应商可离开电脑。</w:t>
      </w:r>
      <w:r/>
    </w:p>
    <w:p>
      <w:pPr>
        <w:ind w:left="0" w:right="0" w:firstLine="4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7、本项目采用线上二次报价</w:t>
      </w:r>
      <w:r>
        <w:rPr>
          <w:rFonts w:ascii="SimSun" w:hAnsi="SimSun" w:eastAsia="SimSun" w:cs="SimSun"/>
          <w:b/>
          <w:color w:val="000000"/>
          <w:sz w:val="24"/>
          <w:u w:val="single"/>
        </w:rPr>
        <w:t xml:space="preserve">(及时关注“苏采云”系统公告栏和语音播报信息，以防错过二次报价)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8、供应商未按规定时间及要求递交二次报价的，视为放弃本次投标（响应）。</w:t>
      </w:r>
      <w:r/>
    </w:p>
    <w:p>
      <w:pPr>
        <w:ind w:left="0" w:right="0" w:firstLine="518"/>
        <w:jc w:val="both"/>
        <w:spacing w:before="0" w:after="0" w:line="85" w:lineRule="atLeast"/>
        <w:tabs>
          <w:tab w:val="left" w:pos="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9、磋商结束后，磋商小组要求所有实质性响应的供应商应登录采购系统并在规定时间内进行线上二次报价即最后报价，提交最后报价的供应商不足3家的，磋商采购失败。除因磋商文件修改导致成本增加外，</w:t>
      </w:r>
      <w:r>
        <w:rPr>
          <w:rFonts w:ascii="SimSun" w:hAnsi="SimSun" w:eastAsia="SimSun" w:cs="SimSun"/>
          <w:b/>
          <w:color w:val="000000"/>
          <w:sz w:val="24"/>
        </w:rPr>
        <w:t xml:space="preserve">最后报价不得高于一次报价，否则为无效响应报价。</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10、异常低价投标审查</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10.1 评标过程中出现下列情形之一的，评标委员会应当启动异常低价投标审查程序：</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（3）投标报价低于采购项目最高限价45%的，即投标报价＜采购项目最高限价×45%；</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（4）评标委员会认定的供应商报价过低、有可能影响产品质量或者不能诚信履约的其他情形。</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10.2启动异常低价投标审查后，评标委员会应当要求相关供应商在评标现场合理的时间内，提供项目具体成本测算等与报价合理性相关的书面说明材料及相关证明材料，对投标价格作出解释，包括但不限于原材料成本、人工成本、制造费用等；评审委员会依投标（响应）供应商不能提供书面说明、证明材料，或者提供的书面说明、证明材料不能证明其 报价合理性的，评审委员会应当将其作为无效投标（响应）处理。由评标委员会根据专业经验，参考同类项目中标（成交）价格、类似产品市场价格水平、行业人工费用标准、国家有关部门指导行业协会发布的行业平均成本</w:t>
      </w:r>
      <w:r>
        <w:rPr>
          <w:rFonts w:ascii="SimSun" w:hAnsi="SimSun" w:eastAsia="SimSun" w:cs="SimSun"/>
          <w:b/>
          <w:color w:val="000000"/>
          <w:sz w:val="24"/>
        </w:rPr>
        <w:t xml:space="preserve">等情况，对报价合理性进行判断。投标供应商不提供书面说明、证明材料，或者提供的书面说明、证明材料不能证明其报价合理性的，评标委员会应当将其作为无效投标处理。审查相关情况应当在评标报告中进行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11、经磋商确定最终采购需求和提交最后报价的供应商后，由磋商小组采用综合评分法对提交最后报价的供应商的响应文件和最后报价进行综合评分。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12、由于开标现场监控传输路径与开标信息传输路径不同，会造成网页显示时间与监控图像显示时间不同。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13、技术支持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注册咨询：18261002950；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CA技术咨询电话：400-608-6099；</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签章使用问题：025-83633811、025-83633812、15380932027、15371015030；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系统使用指导与咨询：联系电话：13914088964、18261002950；QQ：3048755361、1315179389、895706745。</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八、磋商小组</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1、磋商小组由采购人依法组建，由采购人代表、专家评委组成。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2、磋商小组与参加采购活动的供应商存在下列利害关系之一的，应当回避：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（一）参加采购活动前三年内，与投标人存在劳动关系、或者担任过投标人的董事、监事，或者是投标人的控股股东或实际控制人；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（二）与投标人的法定代表人或者负责人有夫妻、直系血亲、三代以内旁系血亲或者近姻亲关系；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（三）与投标人有其他影响政府采购活动公平、公正进行的关系。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磋商小组发现本人与参加采购活动的供应商有利害关系的，应当主动提出回避。采购人或采购代理机构发现评审专家与参加采购活动的供应商有利害关系的，应当要求其回避。</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3、磋商小组负责具体的磋商事务，并独立履行以下职责：</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3.1审查响应文件是否符合磋商采购文件的要求，并作出评价；</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3.2可以要求磋商供应商对响应文件有关事项作出解释或澄清；</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3.3推荐成交候选磋商供应商名单；</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3.4向采购人或者有关部门报告非法干预磋商工作的行为。</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4、磋商小组成员应当履行下列义务：</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4.1遵纪守法，客观、公正、廉洁地履行职责；</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4.2按照磋商采购文件规定的评审办法和评分标准进行评审，对评审意见承担个人责任；</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4.3对磋商过程和结果，以及磋商供应商的商业秘密保密；</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4.4参与评审报告的起草；</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4.5配合相关部门的投诉处理工作；</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4.6配合采购人答复磋商供应商提出的质疑。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九、评审内容的保密</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1、磋商开始后，直到宣布授予成交单位合同为止，凡属于审查、澄清、评价和比较响应文件的所有资料，有关授予合同的信息都不应向磋商供应商或与评审无关的其他人泄露。</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2、在响应文件的审查、澄清、评价和比较以及授予合同的过程中，磋商供应商对采购人和磋商小组施加影响的任何行为，都将取消其成交资格。</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3、在评审期间，采购人将通过指定联络人与磋商供应商进行联系。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十、对响应文件初审</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始磋商后，磋商小组将审查响应文件是否实质性响应磋商采购文件的要求、内容是否完整、价格构成有无计算错误、文件签署是否齐全等，响应文件有下列情况之一者，且磋商小组认为在磋商承诺函中无法修正的则有权将其拒绝：</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1.1磋商供应商的响应文件未按照本须知规定制作的；</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1.2未按本须知规定提交资格文件；</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1.3与磋商采购文件有重大偏离；</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1.4磋商供应商拒绝修正错误；</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1.5磋商供应商的报价是选择性的；</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1.6磋商供应商的报价只投了部分内容；</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1.7未按时递交二次报价的；</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1.8磋商供应商的响应文件出现了评标委员会认为不应当雷同的情况；</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1.9经磋商小组认定磋商供应商的报价低于成本价的；</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1.10不同供应商的“机器码一致”的情形；</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其他被磋商小组认定无效的情况。</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磋商采购文件提供的工艺、材料、设备、参考的商标或样本目录号码等仅作为说明并没有限制性，磋商供应商在磋商中可以选用替代标准，但这些替代标准要优于或相当于技术规格中要求的标准，以满足采购人的需要。</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3、磋商小组将对确定为实质性响应的文件进行审核，看其是否有计算上或累加上的算术错误，修正错误的原则如下：</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3.1响应文件的大写金额与小写金额不一致的，以大写金额为准；</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如果单价乘数量不等于总价，数量符合磋商采购文件要求，以单价计算金额为准；单价金额小数点有明细错位的，应以总价为准，并修改单价；数量不符合磋商采购文件要求的作为未实质性响应磋商采购文件处理，该响应文件将不予以详细评审，也不成交；</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3.3对不同文字文本响应文件的解释发生异议的，以中文文本为准；</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3.4磋商供应商不同意以上修正，则其响应文件将被拒绝。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十一、项目的终止</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1、出现下列情形之一的，将终止竞争性磋商采购活动：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1.1因情况变化，不再符合规定的竞争性磋商采购方式适用情形的；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1.2出现影响采购公正的违法、违规行为的；</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1.3实质性响应磋商文件不满三家或进入二次报价的不满三家或二次报价在采购预算内不满三家的。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十二、响应文件的评价和比较</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1、磋商小组将仅对按照本须知有关规定确定为实质性响应磋商采购文件要求的响应文件进行评价和比较。</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2、评审办法</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采购人授权磋商小组根据本文件规定的成交原则，在响应文件满足磋商文件全部实质性要求且按评审因素的量化指标评审得分最高的磋商供应商为成交候选磋商供应商。</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评标委员会严格按照磋商采购文件的要求、条件、合格性评审办法，对磋商供应商所提供的服务内容进行比较，同时考虑以下因素：</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2.1磋商供应商的资信情况和履约能力；</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2.2磋商供应商提供的其他优惠条件；</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2.3磋商供应商的实施方案；</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3、评标委员会各成员独立对每个进入合格性评审程序的磋商供应商的响应文件按评审办法进行评审和评价。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十三、成交单位的确认</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1、磋商小组根据磋商供应商资格审查情况，对响应文件进行评价和比较，按照评审办法和标准进行评审，并按采购人的委托向采购人推荐成交候选单位。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2、确定成交供应商后，磋商采购单位将在规定的时间内将成交结果在相关媒体上予以公告。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十四、合同授予标准</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1、采购人将把合同授予其响应文件在实质上响应磋商文件要求和按本须知规定评选出的磋商供应商。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政府采购合同履行中，采购人需追加与合同标的物相同的货物、工程或者服务的，在不改变合同其他条款的前提下，可以与成交供应商签订补充合同，但所有补充合同的采购金额不得超过原合同采购金额的百分之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十五、成交通知书</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1、磋商采购单位应在规定的时间向成交供应商发出成交通知书。成交通知书发出后，采购人改变成交结果，或者成交供应商放弃成交，应当承担相应的法律责任。</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2、成交通知书将成为合同的组成部分。</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3、磋商采购单位对未成交供应商不承担解释未成交原因的义务。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十六、告知成交结果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1、发出成交通知书。在发布成交公告的同时，向成交磋商供应商发出成交通知书。</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参与项目评审的未成交磋商供应商可在成交公告发布之日起2个工作日内向采购代理机构另行提供用以接收《未成交通知书》的电子邮件地址，未按时提供电子邮件地址或提供信息有误的，视为自动放弃并自行承担相应后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十七、合同的签订</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1、成交单位应按规定的时间和地点，由法定代表人或代理人与甲方代表签订合同。否则按放弃处理。</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2、签订合同及合同条款应以磋商采购文件和成交单位的响应文件及其澄清文件为依据。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十八、代理服务费</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1、成交单位须按前附表的规定计算并支付服务费，该费用应在领取成交通知书时向采购代理机构一次性付清。</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2、成交单位如果未按规定缴纳服务费，磋商采购单位将保留诉讼的权利。</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十九、采购文件的质疑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政府采购质疑和投诉办法》财政部第94号令，供应商认为采购文件、采购过程、成交结果使自己的权益受到损害的，可以在知道或者应知其权益受到损害之日起7个工作日内，以书面形式向采购人、采购代理机构提出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2、本次采购文件要求供应商在法定质疑期内一次性提出针对同一采购程序环节的质疑。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3、采购人、采购代理机构收到质疑供应商在法定质疑期内发出的质疑函，应当在收到质疑函后7个工作日内作出答复，并以书面形式通知质疑供应商和其他有关供应商。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4、供应商提出质疑应当提交质疑函、报名确认单和必要的证明材料。质疑函应当包括下列内容：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4.1供应商的姓名或者名称、地址、邮编、联系人及联系电话；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4.2质疑项目的名称、编号；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4.3具体、明确的质疑事项和与质疑事项相关的请求；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4.4事实依据；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4.5必要的法律依据；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4.6提出质疑的日期。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5、质疑联系方式详见前附表。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二十、政府采购政策</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1、关于节能环保产品政府采购要求：</w:t>
        <w:br/>
      </w:r>
      <w:r>
        <w:rPr>
          <w:rFonts w:ascii="SimSun" w:hAnsi="SimSun" w:eastAsia="SimSun" w:cs="SimSun"/>
          <w:color w:val="000000"/>
          <w:sz w:val="24"/>
        </w:rPr>
        <w:t xml:space="preserve">   本项目不涉及属于《节能产品政府采购品目清单》中强制采购范围内产品，不涉及属于《节能产品政府采购品目清单》中优先采购范围内的产品及《环境标志产品政府采购品目清单》范围内的产品。</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2、针对中小型企业的评审：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（1）本项目为专门面向中小企业采购。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促进中小企业发展管理办法》（财库〔2020〕46号）及《关于做好政府采购支持企业发展有关事项的通知》（苏财购〔2020〕52号）的相关规定，对于专门面向中小微企业的项目，如供应商认定本企业提供的工程或服务符合上述文件规定情形，可以享受中小企业扶持政策的，则需根据《中小企业划型标准规定》（工信部联企业〔2011〕300号）提交《中小企业声明函》并加盖公章，</w:t>
      </w:r>
      <w:r>
        <w:rPr>
          <w:rFonts w:ascii="SimSun" w:hAnsi="SimSun" w:eastAsia="SimSun" w:cs="SimSun"/>
          <w:b/>
          <w:color w:val="000000"/>
          <w:sz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在政府采购活动中，供应商提供的工程符合下列情形的，享受《政府采购促进中小企业发展管理办法》规定的中小企业扶持政策：在工程项目中，项目由中小微企业承建。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根据《政府采购促进中小企业发展管理办法》（财库〔2020〕46号）及《中小企业划型标准规定》（工信部联企业〔2011〕300号），本采购项目对应的中小企业划分标准所属行业为：建筑业。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若中小微企业提供的 “中小企业声明函” 或认定证明为虚假声明则视同提供虚假材料，按政府采购相关规定处理并报请政府监管部门给予行政处罚。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未尽事宜按照《苏州市政府采购促进中小企业发展实施意见》执行。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（2）残疾人福利性单位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（3）监狱企业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w:t>
      </w:r>
      <w:r/>
    </w:p>
    <w:p>
      <w:pPr>
        <w:ind w:left="0" w:right="0" w:firstLine="482"/>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3、信用记录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3.1查询截止时点：响应文件递交截止时间。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3.2查询渠道：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采购代理机构将通过，在中国政府采购网（http://www.ccgp.gov.cn）、信用中国（www.creditchina.gov.cn）的网站输入供应商全称或统一社会信用代码查询信用记录，并将查询结果递交评审小组。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信用记录使用规则：对投标人进行资格性审查时，应根据查询结果对供应商的不良信用记录逐项甄别确认。按照《中华人民共和国政府采购法》第二十二条规定，下列信用记录属于应依法拒绝投标人参加政府采购的失信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（一）政府采购严重违法记录，即供应商被全国各级财政部门列入“政府采购严重违法失信行为记录名单”，且在处罚有效期内的。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（二）财政部门与法院、工商、税务等部门联合惩戒的失信信息，包括：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（1）被列入失信被执行人名单；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（2）被列入重大税收违法案件当事人名单；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投标（响应）文件日未满三年的。</w:t>
      </w:r>
      <w:r/>
    </w:p>
    <w:p>
      <w:pPr>
        <w:ind w:left="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57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pStyle w:val="765"/>
        <w:numPr>
          <w:ilvl w:val="0"/>
          <w:numId w:val="29"/>
        </w:numPr>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u w:val="none"/>
        </w:rPr>
        <w:t xml:space="preserve">技术管理要求</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一、工程范围与内容</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1、工程概况：</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芮嘉河整治工程：施工范围包含对通苏嘉甬铁路跨河段450米河道进行清淤整治等内容。</w:t>
      </w:r>
      <w:r>
        <w:rPr>
          <w:rFonts w:ascii="SimSun" w:hAnsi="SimSun" w:eastAsia="SimSun" w:cs="SimSun"/>
          <w:color w:val="000000"/>
          <w:spacing w:val="-4"/>
          <w:sz w:val="26"/>
        </w:rPr>
        <w:t xml:space="preserve">本工程位于相城区漕湖街道希望圩圩内河道，主要内容为：清淤量7316m</w:t>
      </w:r>
      <w:r>
        <w:rPr>
          <w:rFonts w:ascii="SimSun" w:hAnsi="SimSun" w:eastAsia="SimSun" w:cs="SimSun"/>
          <w:color w:val="000000"/>
          <w:spacing w:val="-4"/>
          <w:sz w:val="26"/>
          <w:vertAlign w:val="superscript"/>
        </w:rPr>
        <w:t xml:space="preserve">3</w:t>
      </w:r>
      <w:r>
        <w:rPr>
          <w:rFonts w:ascii="SimSun" w:hAnsi="SimSun" w:eastAsia="SimSun" w:cs="SimSun"/>
          <w:color w:val="000000"/>
          <w:spacing w:val="-4"/>
          <w:sz w:val="26"/>
        </w:rPr>
        <w:t xml:space="preserve">、仿石生态驳岸648m、密排木桩护岸61m、河堤绿化3545m</w:t>
      </w:r>
      <w:r>
        <w:rPr>
          <w:rFonts w:ascii="SimSun" w:hAnsi="SimSun" w:eastAsia="SimSun" w:cs="SimSun"/>
          <w:color w:val="000000"/>
          <w:spacing w:val="-4"/>
          <w:sz w:val="26"/>
          <w:vertAlign w:val="superscript"/>
        </w:rPr>
        <w:t xml:space="preserve">2</w:t>
      </w:r>
      <w:r>
        <w:rPr>
          <w:rFonts w:ascii="SimSun" w:hAnsi="SimSun" w:eastAsia="SimSun" w:cs="SimSun"/>
          <w:color w:val="000000"/>
          <w:spacing w:val="-4"/>
          <w:sz w:val="26"/>
        </w:rPr>
        <w:t xml:space="preserve">。</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2、工程招标范围、内容：</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施工范围内的对通苏嘉甬铁路跨河段450米河道进行清淤整治等内容等内容，具体详见工程量清单。</w:t>
      </w:r>
      <w:r/>
    </w:p>
    <w:p>
      <w:pPr>
        <w:numPr>
          <w:ilvl w:val="0"/>
          <w:numId w:val="30"/>
        </w:numPr>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技术、管理要求</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1、承包人应按标书及施工图纸的有关要求进行施工。施工、垃圾清运、后期保修应符合现行国家规范、标准的要求及江苏省、苏州工业园区的有关规定。</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2、工程质量符合“合格”标准。</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3、承包人应把履行本技术管理要求的所有涉及费用综合考虑计入投标总价中包干。</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4、本工程混凝土采用商品砼，投标人综合考虑施工方法和施工现场地理位置产生的相关费用。</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保险费包含工程一切险和第三者责任险，工程一切险的保险金额按工程量清单各项目的合计金额，其保险费率为0.44%；第三者责任险的保险金额为100万元，其保险费率为0.25%（计2500元为明标），计入措施项目清单中；承包人实际投保金额大于中标保险金额，按中标保险金额结算，若投保金额小于中标保险金额，则按实际保险金额结算。</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6、本工程税金为9%。</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7、本工程钢管柱围堰及土方围堰应充分考虑项目地理位置和汛期影响、汛期导流方案等，所发生相关的措施费用不再计量；围堰使用时间已综合考虑，投标人综合考虑报价，单价不调整，工程量按实计。</w:t>
      </w:r>
      <w:r/>
    </w:p>
    <w:p>
      <w:pPr>
        <w:ind w:left="0" w:right="0" w:firstLine="480"/>
        <w:jc w:val="both"/>
        <w:spacing w:before="120" w:after="120" w:line="85" w:lineRule="atLeast"/>
        <w:tabs>
          <w:tab w:val="left" w:pos="98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8、基坑支护、周边建构筑物及管线的沉降观测费用综合考虑在报价中。</w:t>
      </w:r>
      <w:r/>
    </w:p>
    <w:p>
      <w:pPr>
        <w:ind w:left="0" w:right="0" w:firstLine="480"/>
        <w:jc w:val="both"/>
        <w:spacing w:before="120" w:after="120" w:line="85" w:lineRule="atLeast"/>
        <w:tabs>
          <w:tab w:val="left" w:pos="98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9、本项目首先土方（含淤泥、淤质土等）场内平衡，如缺土由中标单位自行处理，建筑垃圾就近平衡。</w:t>
      </w:r>
      <w:r/>
    </w:p>
    <w:p>
      <w:pPr>
        <w:ind w:left="0" w:right="0" w:firstLine="480"/>
        <w:jc w:val="both"/>
        <w:spacing w:before="120" w:after="120" w:line="85" w:lineRule="atLeast"/>
        <w:tabs>
          <w:tab w:val="left" w:pos="98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10、施工便道筑拆、维修由投标人自行勘察现场条件，自行报价，包干使用。</w:t>
      </w:r>
      <w:r/>
    </w:p>
    <w:p>
      <w:pPr>
        <w:ind w:left="0" w:right="0" w:firstLine="480"/>
        <w:jc w:val="both"/>
        <w:spacing w:before="120" w:after="120" w:line="85" w:lineRule="atLeast"/>
        <w:tabs>
          <w:tab w:val="left" w:pos="98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11、投标人应充分考虑项目现场地下管线、热力管道、国防光缆、已建建（构）筑物等情况，严禁盲目开挖。投标人配合管线探测、查找位置、管线保护的费用综合考虑在报价中。</w:t>
      </w:r>
      <w:r/>
    </w:p>
    <w:p>
      <w:pPr>
        <w:ind w:left="0" w:right="0" w:firstLine="480"/>
        <w:jc w:val="both"/>
        <w:spacing w:before="120" w:after="120" w:line="85" w:lineRule="atLeast"/>
        <w:tabs>
          <w:tab w:val="left" w:pos="98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12、本工程施工时两岸杂树、建筑垃圾、河内各类垃圾等均需全部清理，费用综合考虑在报价中。</w:t>
      </w:r>
      <w:r/>
    </w:p>
    <w:p>
      <w:pPr>
        <w:ind w:left="0" w:right="0" w:firstLine="482"/>
        <w:jc w:val="both"/>
        <w:spacing w:before="120" w:after="120" w:line="85" w:lineRule="atLeast"/>
        <w:tabs>
          <w:tab w:val="left" w:pos="98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三、发包人提供工程量</w:t>
      </w:r>
      <w:r/>
    </w:p>
    <w:p>
      <w:pPr>
        <w:ind w:left="0" w:right="39"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本工程业主提供的工程量，承包商须自行根据工程现场情况进行核准。</w:t>
      </w:r>
      <w:r/>
    </w:p>
    <w:p>
      <w:pPr>
        <w:ind w:left="0" w:right="0" w:firstLine="482"/>
        <w:jc w:val="both"/>
        <w:spacing w:before="120" w:after="120" w:line="85" w:lineRule="atLeast"/>
        <w:tabs>
          <w:tab w:val="left" w:pos="98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四、安全文明 </w:t>
      </w:r>
      <w:r/>
    </w:p>
    <w:p>
      <w:pPr>
        <w:ind w:left="0" w:right="39"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安全文明措施费为明标63282.60元，投标时不得调整。（1）投标时须附安全文明措施费分解表，参考格式分为十大项和若干子项，项目清单大项不得调整，子项可根据工程实际适当增减或调整，"安全文明措施"清单采用现场计量、按实支付的方式，详见江苏省水利建设工程安全文明措施费使用管理办法，排泥场标志标牌和安全设施含在此项内。（2）若投标单位认为安全文明措施费超出该费用，则自行摊销至各分类分项工程报价中，不予另行计算。</w:t>
      </w:r>
      <w:r/>
    </w:p>
    <w:p>
      <w:pPr>
        <w:ind w:left="0" w:right="39"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2、由于承包人安全文明施工问题造成发包人被他人索赔，发包人保留向承包人索赔 的权利。涉及安全文明施工的所有费用投标人应考虑在投标总价中。</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五、工期要求</w:t>
      </w:r>
      <w:r/>
    </w:p>
    <w:p>
      <w:pPr>
        <w:ind w:left="0" w:right="0" w:firstLine="480"/>
        <w:jc w:val="both"/>
        <w:spacing w:before="120" w:after="120" w:line="85" w:lineRule="atLeast"/>
        <w:tabs>
          <w:tab w:val="left" w:pos="98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1、本工程至竣工验收的工期为120个日历天(已包括所有节假日、雨雪天等)， 承包人在整个工期内需承担总的管理与配合的职责，如因其它承包单位原因造成总工期延误，承包人必须承担同样违约责任。</w:t>
      </w:r>
      <w:r/>
    </w:p>
    <w:p>
      <w:pPr>
        <w:ind w:left="0" w:right="0" w:firstLine="480"/>
        <w:jc w:val="both"/>
        <w:spacing w:before="120" w:after="120" w:line="85" w:lineRule="atLeast"/>
        <w:tabs>
          <w:tab w:val="left" w:pos="98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2、承包人应认真考虑所报工期，承包人必须考虑采取一切必要的措施来保证工程按期完成，发包人认为承包人在标价中已充分考虑了由此而引起的一切费用。承包人应考虑到气候 因素对工程施工的影响，气候因素应是承包人应考虑到的风险。发包人不接受承包人因气候因素而提出的任何索赔。承包人在施工过程中，在未得到发包人同意的情况下，不得以任何理由顺延工期。</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六、工程通用要求</w:t>
      </w:r>
      <w:r/>
    </w:p>
    <w:p>
      <w:pPr>
        <w:ind w:left="0" w:right="0" w:firstLine="480"/>
        <w:jc w:val="both"/>
        <w:spacing w:before="120" w:after="120" w:line="85" w:lineRule="atLeast"/>
        <w:tabs>
          <w:tab w:val="left" w:pos="98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1、现场文明施工须参照苏州工业园区规建委、质、安监现场形象标准执行，达到同等及以上标准，该部分所有的费用考虑在投标总价中。</w:t>
      </w:r>
      <w:r/>
    </w:p>
    <w:p>
      <w:pPr>
        <w:ind w:left="0" w:right="0" w:firstLine="480"/>
        <w:jc w:val="both"/>
        <w:spacing w:before="120" w:after="120" w:line="85" w:lineRule="atLeast"/>
        <w:tabs>
          <w:tab w:val="left" w:pos="98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2、施工现场垃圾应用大体积容器收集，并委托环卫部门定期清理。</w:t>
      </w:r>
      <w:r/>
    </w:p>
    <w:p>
      <w:pPr>
        <w:ind w:left="0" w:right="0" w:firstLine="480"/>
        <w:jc w:val="both"/>
        <w:spacing w:before="120" w:after="120" w:line="85" w:lineRule="atLeast"/>
        <w:tabs>
          <w:tab w:val="left" w:pos="98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3、涉及文明施工的所有费用应考虑投标总价中。</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七、竣工验收</w:t>
      </w:r>
      <w:r/>
    </w:p>
    <w:p>
      <w:pPr>
        <w:ind w:left="0" w:right="0" w:firstLine="480"/>
        <w:jc w:val="both"/>
        <w:spacing w:before="120" w:after="120" w:line="85" w:lineRule="atLeast"/>
        <w:tabs>
          <w:tab w:val="left" w:pos="98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验收须经承包商自检、监理预验收，合格后报联合验收小组进行初验。联合验收小组由发包人、接收单位、代建单位、监理和设计单位共同组成。承包人需配合完成电力相关部门的验收，涉及费用综合计入投标总价包干。</w:t>
      </w:r>
      <w:r/>
    </w:p>
    <w:p>
      <w:pPr>
        <w:ind w:left="0" w:right="0" w:firstLine="480"/>
        <w:jc w:val="both"/>
        <w:spacing w:before="120" w:after="120" w:line="85" w:lineRule="atLeast"/>
        <w:tabs>
          <w:tab w:val="left" w:pos="98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工程必须完成所有方案变更申报手续后，方可申请工程验收；工程验收后对验收前发生的增加变更费用原则上不予受理。 </w:t>
      </w:r>
      <w:r/>
    </w:p>
    <w:p>
      <w:pPr>
        <w:ind w:left="0" w:right="0" w:firstLine="480"/>
        <w:jc w:val="both"/>
        <w:spacing w:before="120" w:after="120" w:line="85" w:lineRule="atLeast"/>
        <w:tabs>
          <w:tab w:val="left" w:pos="98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本项目合同履约验收按照《江苏省政府采购履约验收管理办法》苏财规〔2024〕7号规定执行。</w:t>
      </w:r>
      <w:r/>
    </w:p>
    <w:p>
      <w:pPr>
        <w:ind w:left="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57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pStyle w:val="765"/>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u w:val="none"/>
        </w:rPr>
        <w:t xml:space="preserve">第五章合同主要条款</w:t>
      </w:r>
      <w:r/>
    </w:p>
    <w:p>
      <w:pPr>
        <w:ind w:left="0" w:right="0" w:firstLine="4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第一部分 合同协议书</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发包人（全称）：</w:t>
      </w:r>
      <w:r>
        <w:rPr>
          <w:rFonts w:ascii="SimSun" w:hAnsi="SimSun" w:eastAsia="SimSun" w:cs="SimSun"/>
          <w:b/>
          <w:color w:val="000000"/>
          <w:sz w:val="24"/>
          <w:u w:val="single"/>
        </w:rPr>
        <w:t xml:space="preserve">苏州市相城区人民政府漕湖街道办事处</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联系人：</w:t>
      </w:r>
      <w:r>
        <w:rPr>
          <w:rFonts w:ascii="SimSun" w:hAnsi="SimSun" w:eastAsia="SimSun" w:cs="SimSun"/>
          <w:b/>
          <w:color w:val="000000"/>
          <w:sz w:val="24"/>
          <w:u w:val="single"/>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联系方式：</w:t>
      </w:r>
      <w:r>
        <w:rPr>
          <w:rFonts w:ascii="SimSun" w:hAnsi="SimSun" w:eastAsia="SimSun" w:cs="SimSun"/>
          <w:b/>
          <w:color w:val="000000"/>
          <w:sz w:val="24"/>
          <w:u w:val="single"/>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承包人（全称）：</w:t>
      </w:r>
      <w:r>
        <w:rPr>
          <w:rFonts w:ascii="SimSun" w:hAnsi="SimSun" w:eastAsia="SimSun" w:cs="SimSun"/>
          <w:b/>
          <w:color w:val="000000"/>
          <w:sz w:val="24"/>
          <w:u w:val="single"/>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联系人： </w:t>
      </w:r>
      <w:r>
        <w:rPr>
          <w:rFonts w:ascii="SimSun" w:hAnsi="SimSun" w:eastAsia="SimSun" w:cs="SimSun"/>
          <w:b/>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联系方式：  </w:t>
      </w:r>
      <w:r>
        <w:rPr>
          <w:rFonts w:ascii="SimSun" w:hAnsi="SimSun" w:eastAsia="SimSun" w:cs="SimSun"/>
          <w:b/>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根据有关法律规定，遵循平等、自愿、公平和诚实信用的原则，双方就</w:t>
      </w:r>
      <w:r>
        <w:rPr>
          <w:rFonts w:ascii="SimSun" w:hAnsi="SimSun" w:eastAsia="SimSun" w:cs="SimSun"/>
          <w:color w:val="000000"/>
          <w:sz w:val="24"/>
          <w:u w:val="single"/>
        </w:rPr>
        <w:t xml:space="preserve">芮嘉河整治工程</w:t>
      </w:r>
      <w:r>
        <w:rPr>
          <w:rFonts w:ascii="SimSun" w:hAnsi="SimSun" w:eastAsia="SimSun" w:cs="SimSun"/>
          <w:color w:val="000000"/>
          <w:sz w:val="24"/>
        </w:rPr>
        <w:t xml:space="preserve">施工及有关事项协商一致，共同达成如下协议：</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一、工程概况</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1.工程名称：</w:t>
      </w:r>
      <w:r>
        <w:rPr>
          <w:rFonts w:ascii="SimSun" w:hAnsi="SimSun" w:eastAsia="SimSun" w:cs="SimSun"/>
          <w:color w:val="000000"/>
          <w:sz w:val="24"/>
          <w:u w:val="single"/>
        </w:rPr>
        <w:t xml:space="preserve">芮嘉河整治工程</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2.工程地点：</w:t>
      </w:r>
      <w:r>
        <w:rPr>
          <w:rFonts w:ascii="SimSun" w:hAnsi="SimSun" w:eastAsia="SimSun" w:cs="SimSun"/>
          <w:color w:val="000000"/>
          <w:sz w:val="24"/>
          <w:u w:val="single"/>
        </w:rPr>
        <w:t xml:space="preserve">苏州市相城区漕湖街道</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3.工程立项批准文号：</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4.资金来源：</w:t>
      </w:r>
      <w:r>
        <w:rPr>
          <w:rFonts w:ascii="SimSun" w:hAnsi="SimSun" w:eastAsia="SimSun" w:cs="SimSun"/>
          <w:color w:val="000000"/>
          <w:sz w:val="24"/>
          <w:u w:val="single"/>
        </w:rPr>
        <w:t xml:space="preserve">财政 </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5.工程内容：</w:t>
      </w:r>
      <w:r>
        <w:rPr>
          <w:rFonts w:ascii="SimSun" w:hAnsi="SimSun" w:eastAsia="SimSun" w:cs="SimSun"/>
          <w:color w:val="000000"/>
          <w:sz w:val="24"/>
          <w:u w:val="single"/>
        </w:rPr>
        <w:t xml:space="preserve">芮嘉河整治工程，详见图纸及工程量清单</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群体工程应附《承包人承揽工程项目一览表》（附件1）。</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6.工程承包范围：</w:t>
      </w:r>
      <w:r>
        <w:rPr>
          <w:rFonts w:ascii="SimSun" w:hAnsi="SimSun" w:eastAsia="SimSun" w:cs="SimSun"/>
          <w:color w:val="000000"/>
          <w:sz w:val="24"/>
          <w:u w:val="single"/>
        </w:rPr>
        <w:t xml:space="preserve">芮嘉河整治工程 ，详见图纸及工程量清单。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二、合同工期</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计划开工日期：年月日。</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计划竣工日期：年月日。</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工期总日历天数：</w:t>
      </w:r>
      <w:r>
        <w:rPr>
          <w:rFonts w:ascii="SimSun" w:hAnsi="SimSun" w:eastAsia="SimSun" w:cs="SimSun"/>
          <w:color w:val="000000"/>
          <w:sz w:val="24"/>
          <w:u w:val="single"/>
        </w:rPr>
        <w:t xml:space="preserve">   </w:t>
      </w:r>
      <w:r>
        <w:rPr>
          <w:rFonts w:ascii="SimSun" w:hAnsi="SimSun" w:eastAsia="SimSun" w:cs="SimSun"/>
          <w:color w:val="000000"/>
          <w:sz w:val="24"/>
        </w:rPr>
        <w:t xml:space="preserve">天。工期总日历天数与根据前述计划开竣工日期计算的工期天数不一致的，以工期总日历天数为准。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三、质量标准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工程质量符合</w:t>
      </w:r>
      <w:r>
        <w:rPr>
          <w:rFonts w:ascii="SimSun" w:hAnsi="SimSun" w:eastAsia="SimSun" w:cs="SimSun"/>
          <w:color w:val="000000"/>
          <w:sz w:val="24"/>
          <w:u w:val="single"/>
        </w:rPr>
        <w:t xml:space="preserve"> 合格 </w:t>
      </w:r>
      <w:r>
        <w:rPr>
          <w:rFonts w:ascii="SimSun" w:hAnsi="SimSun" w:eastAsia="SimSun" w:cs="SimSun"/>
          <w:color w:val="000000"/>
          <w:sz w:val="24"/>
        </w:rPr>
        <w:t xml:space="preserve">标准。   </w:t>
      </w:r>
      <w:r>
        <w:rPr>
          <w:rFonts w:ascii="SimSun" w:hAnsi="SimSun" w:eastAsia="SimSun" w:cs="SimSun"/>
          <w:b/>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四、签约合同价与合同价格形式</w:t>
        <w:tab/>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1.签约合同价为：</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（1）安全文明施工费：</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（2）材料和工程设备暂估价金额：</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（3）专业工程暂估价金额：</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（4）暂列金额：</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2.合同价格形式：</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b/>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五、项目经理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承包人项目经理：</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b/>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六、合同文件构成</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本协议书与下列文件一起构成合同文件：</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（1）中标通知书（如果有）；</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（2）投标函及其附录（如果有）；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（3）专用合同条款及其附件；</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（4）通用合同条款；</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（5）技术标准和要求；</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（6）图纸；</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（7）已标价工程量清单或预算书；</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（8）其他合同文件。</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在合同订立及履行过程中形成的与合同有关的文件均构成合同文件组成部分。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上述各项合同文件包括合同当事人就合同内容的任何部分可能作出的补充和修改。相关内容前后达成不同合同文件的，应以最新签署或达成的为准。专用合同条款及其附件须经合同当事人签字或盖章。</w:t>
      </w:r>
      <w:r>
        <w:rPr>
          <w:rFonts w:ascii="SimSun" w:hAnsi="SimSun" w:eastAsia="SimSun" w:cs="SimSun"/>
          <w:b/>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 其他</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（1）乙方收款账户信息如下：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账户名：</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人民币账户：</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数字人民币钱包ID：</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（2）如接受分包， 按照下列原则作出相应规定：小型、微型企业不得分包或转包给大型、中型企业，中型企业不得分包或转包给大型企业。</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经双方协商一致同意，在本合同签订后，若因乙方办理“园采贷”信用融资的需要，本合同第9条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八、承诺</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1.发包人承诺按照法律规定履行项目审批手续、筹集工程建设资金并按照合同约定的期限和方式支付合同价款。</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2.承包人承诺按照法律规定及合同约定组织完成工程施工，有效维持施工资质与履约能力，确保工程质量和安全，不进行转包及违法分包，并在缺陷责任期及保修期内承担相应的工程维修责任。</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3.发包人和承包人通过招投标形式签订合同的，双方理解并承诺不再就同一工程另行签订与合同实质性内容相背离的协议。</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九、词语含义</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本协议书中词语含义与第二部分通用合同条款中赋予的含义相同。</w:t>
      </w:r>
      <w:r>
        <w:rPr>
          <w:rFonts w:ascii="SimSun" w:hAnsi="SimSun" w:eastAsia="SimSun" w:cs="SimSun"/>
          <w:b/>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十、签订时间</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本合同于</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日签订。</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十一、签订地点</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本合同在</w:t>
      </w:r>
      <w:r>
        <w:rPr>
          <w:rFonts w:ascii="SimSun" w:hAnsi="SimSun" w:eastAsia="SimSun" w:cs="SimSun"/>
          <w:color w:val="000000"/>
          <w:sz w:val="24"/>
          <w:u w:val="single"/>
        </w:rPr>
        <w:t xml:space="preserve">                                     </w:t>
      </w:r>
      <w:r>
        <w:rPr>
          <w:rFonts w:ascii="SimSun" w:hAnsi="SimSun" w:eastAsia="SimSun" w:cs="SimSun"/>
          <w:color w:val="000000"/>
          <w:sz w:val="24"/>
        </w:rPr>
        <w:t xml:space="preserve">签订。</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十二、补充协议</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合同未尽事宜，合同当事人另行签订补充协议，补充协议是合同的组成部分。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十三、合同生效</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本合同自</w:t>
      </w:r>
      <w:r>
        <w:rPr>
          <w:rFonts w:ascii="SimSun" w:hAnsi="SimSun" w:eastAsia="SimSun" w:cs="SimSun"/>
          <w:color w:val="000000"/>
          <w:sz w:val="24"/>
          <w:u w:val="single"/>
        </w:rPr>
        <w:t xml:space="preserve">  双方签字盖章后</w:t>
      </w:r>
      <w:r>
        <w:rPr>
          <w:rFonts w:ascii="SimSun" w:hAnsi="SimSun" w:eastAsia="SimSun" w:cs="SimSun"/>
          <w:color w:val="000000"/>
          <w:sz w:val="24"/>
        </w:rPr>
        <w:t xml:space="preserve">生效。</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十四、合同份数</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w:t>
      </w:r>
      <w:r>
        <w:rPr>
          <w:rFonts w:ascii="SimSun" w:hAnsi="SimSun" w:eastAsia="SimSun" w:cs="SimSun"/>
          <w:color w:val="000000"/>
          <w:sz w:val="24"/>
          <w:u w:val="single"/>
        </w:rPr>
        <w:t xml:space="preserve">      </w:t>
      </w:r>
      <w:r>
        <w:rPr>
          <w:rFonts w:ascii="SimSun" w:hAnsi="SimSun" w:eastAsia="SimSun" w:cs="SimSun"/>
          <w:color w:val="000000"/>
          <w:sz w:val="24"/>
        </w:rPr>
        <w:t xml:space="preserve">份，均具有同等法律效力，发包人执</w:t>
      </w:r>
      <w:r>
        <w:rPr>
          <w:rFonts w:ascii="SimSun" w:hAnsi="SimSun" w:eastAsia="SimSun" w:cs="SimSun"/>
          <w:color w:val="000000"/>
          <w:sz w:val="24"/>
          <w:u w:val="single"/>
        </w:rPr>
        <w:t xml:space="preserve">      </w:t>
      </w:r>
      <w:r>
        <w:rPr>
          <w:rFonts w:ascii="SimSun" w:hAnsi="SimSun" w:eastAsia="SimSun" w:cs="SimSun"/>
          <w:color w:val="000000"/>
          <w:sz w:val="24"/>
        </w:rPr>
        <w:t xml:space="preserve">份，承包人执</w:t>
      </w:r>
      <w:r>
        <w:rPr>
          <w:rFonts w:ascii="SimSun" w:hAnsi="SimSun" w:eastAsia="SimSun" w:cs="SimSun"/>
          <w:color w:val="000000"/>
          <w:sz w:val="24"/>
          <w:u w:val="single"/>
        </w:rPr>
        <w:t xml:space="preserve">      </w:t>
      </w:r>
      <w:r>
        <w:rPr>
          <w:rFonts w:ascii="SimSun" w:hAnsi="SimSun" w:eastAsia="SimSun" w:cs="SimSun"/>
          <w:color w:val="000000"/>
          <w:sz w:val="24"/>
        </w:rPr>
        <w:t xml:space="preserve">份，代理机构壹份。</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发包人：(公章)                           承包人：  (公章)</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法定代表人或其委托代理人：法定代表人或其委托代理人：</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（签字）（签字）</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360" w:lineRule="atLeast"/>
        <w:tabs>
          <w:tab w:val="left" w:pos="44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组织机构代码：</w:t>
      </w:r>
      <w:r>
        <w:rPr>
          <w:rFonts w:ascii="SimSun" w:hAnsi="SimSun" w:eastAsia="SimSun" w:cs="SimSun"/>
          <w:color w:val="000000"/>
          <w:sz w:val="24"/>
          <w:u w:val="single"/>
        </w:rPr>
        <w:t xml:space="preserve">                    </w:t>
      </w:r>
      <w:r>
        <w:rPr>
          <w:rFonts w:ascii="SimSun" w:hAnsi="SimSun" w:eastAsia="SimSun" w:cs="SimSun"/>
          <w:color w:val="000000"/>
          <w:sz w:val="24"/>
        </w:rPr>
        <w:t xml:space="preserve">    组织机构代码：</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    地址：</w:t>
      </w:r>
      <w:r>
        <w:rPr>
          <w:rFonts w:ascii="SimSun" w:hAnsi="SimSun" w:eastAsia="SimSun" w:cs="SimSun"/>
          <w:color w:val="000000"/>
          <w:sz w:val="24"/>
          <w:u w:val="single"/>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rPr>
          <w:rFonts w:ascii="SimSun" w:hAnsi="SimSun" w:eastAsia="SimSun" w:cs="SimSun"/>
          <w:color w:val="000000"/>
          <w:sz w:val="24"/>
          <w:u w:val="single"/>
        </w:rPr>
        <w:t xml:space="preserve">                        </w:t>
      </w:r>
      <w:r>
        <w:rPr>
          <w:rFonts w:ascii="SimSun" w:hAnsi="SimSun" w:eastAsia="SimSun" w:cs="SimSun"/>
          <w:color w:val="000000"/>
          <w:sz w:val="24"/>
        </w:rPr>
        <w:t xml:space="preserve">    邮政编码：</w:t>
      </w:r>
      <w:r>
        <w:rPr>
          <w:rFonts w:ascii="SimSun" w:hAnsi="SimSun" w:eastAsia="SimSun" w:cs="SimSun"/>
          <w:color w:val="000000"/>
          <w:sz w:val="24"/>
          <w:u w:val="single"/>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SimSun" w:hAnsi="SimSun" w:eastAsia="SimSun" w:cs="SimSun"/>
          <w:color w:val="000000"/>
          <w:sz w:val="24"/>
          <w:u w:val="single"/>
        </w:rPr>
        <w:t xml:space="preserve">                      </w:t>
      </w:r>
      <w:r>
        <w:rPr>
          <w:rFonts w:ascii="SimSun" w:hAnsi="SimSun" w:eastAsia="SimSun" w:cs="SimSun"/>
          <w:color w:val="000000"/>
          <w:sz w:val="24"/>
        </w:rPr>
        <w:t xml:space="preserve">    法定代表人：</w:t>
      </w:r>
      <w:r>
        <w:rPr>
          <w:rFonts w:ascii="SimSun" w:hAnsi="SimSun" w:eastAsia="SimSun" w:cs="SimSun"/>
          <w:color w:val="000000"/>
          <w:sz w:val="24"/>
          <w:u w:val="single"/>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w:t>
      </w:r>
      <w:r>
        <w:rPr>
          <w:rFonts w:ascii="SimSun" w:hAnsi="SimSun" w:eastAsia="SimSun" w:cs="SimSun"/>
          <w:color w:val="000000"/>
          <w:sz w:val="24"/>
          <w:u w:val="single"/>
        </w:rPr>
        <w:t xml:space="preserve">                          </w:t>
      </w:r>
      <w:r>
        <w:rPr>
          <w:rFonts w:ascii="SimSun" w:hAnsi="SimSun" w:eastAsia="SimSun" w:cs="SimSun"/>
          <w:color w:val="000000"/>
          <w:sz w:val="24"/>
        </w:rPr>
        <w:t xml:space="preserve">    委托代理人：</w:t>
      </w:r>
      <w:r>
        <w:rPr>
          <w:rFonts w:ascii="SimSun" w:hAnsi="SimSun" w:eastAsia="SimSun" w:cs="SimSun"/>
          <w:color w:val="000000"/>
          <w:sz w:val="24"/>
          <w:u w:val="single"/>
        </w:rPr>
        <w:t xml:space="preserve">                    </w:t>
      </w:r>
      <w:r/>
    </w:p>
    <w:p>
      <w:pPr>
        <w:ind w:left="0" w:right="0" w:firstLine="0"/>
        <w:spacing w:before="0" w:after="0" w:line="39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u w:val="single"/>
        </w:rPr>
        <w:t xml:space="preserve">                          </w:t>
      </w:r>
      <w:r>
        <w:rPr>
          <w:rFonts w:ascii="SimSun" w:hAnsi="SimSun" w:eastAsia="SimSun" w:cs="SimSun"/>
          <w:color w:val="000000"/>
          <w:sz w:val="24"/>
        </w:rPr>
        <w:t xml:space="preserve">    电话：</w:t>
      </w:r>
      <w:r>
        <w:rPr>
          <w:rFonts w:ascii="SimSun" w:hAnsi="SimSun" w:eastAsia="SimSun" w:cs="SimSun"/>
          <w:color w:val="000000"/>
          <w:sz w:val="24"/>
          <w:u w:val="single"/>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rPr>
          <w:rFonts w:ascii="SimSun" w:hAnsi="SimSun" w:eastAsia="SimSun" w:cs="SimSun"/>
          <w:color w:val="000000"/>
          <w:sz w:val="24"/>
          <w:u w:val="single"/>
        </w:rPr>
        <w:t xml:space="preserve">                          </w:t>
      </w:r>
      <w:r>
        <w:rPr>
          <w:rFonts w:ascii="SimSun" w:hAnsi="SimSun" w:eastAsia="SimSun" w:cs="SimSun"/>
          <w:color w:val="000000"/>
          <w:sz w:val="24"/>
        </w:rPr>
        <w:t xml:space="preserve">    传真：</w:t>
      </w:r>
      <w:r>
        <w:rPr>
          <w:rFonts w:ascii="SimSun" w:hAnsi="SimSun" w:eastAsia="SimSun" w:cs="SimSun"/>
          <w:color w:val="000000"/>
          <w:sz w:val="24"/>
          <w:u w:val="single"/>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SimSun" w:hAnsi="SimSun" w:eastAsia="SimSun" w:cs="SimSun"/>
          <w:color w:val="000000"/>
          <w:sz w:val="24"/>
          <w:u w:val="single"/>
        </w:rPr>
        <w:t xml:space="preserve">                        </w:t>
      </w:r>
      <w:r>
        <w:rPr>
          <w:rFonts w:ascii="SimSun" w:hAnsi="SimSun" w:eastAsia="SimSun" w:cs="SimSun"/>
          <w:color w:val="000000"/>
          <w:sz w:val="24"/>
        </w:rPr>
        <w:t xml:space="preserve">    电子信箱： </w:t>
      </w:r>
      <w:r>
        <w:rPr>
          <w:rFonts w:ascii="SimSun" w:hAnsi="SimSun" w:eastAsia="SimSun" w:cs="SimSun"/>
          <w:color w:val="000000"/>
          <w:sz w:val="24"/>
          <w:u w:val="single"/>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rPr>
          <w:rFonts w:ascii="SimSun" w:hAnsi="SimSun" w:eastAsia="SimSun" w:cs="SimSun"/>
          <w:color w:val="000000"/>
          <w:sz w:val="24"/>
          <w:u w:val="single"/>
        </w:rPr>
        <w:t xml:space="preserve">                        </w:t>
      </w:r>
      <w:r>
        <w:rPr>
          <w:rFonts w:ascii="SimSun" w:hAnsi="SimSun" w:eastAsia="SimSun" w:cs="SimSun"/>
          <w:color w:val="000000"/>
          <w:sz w:val="24"/>
        </w:rPr>
        <w:t xml:space="preserve">    开户银行：</w:t>
      </w:r>
      <w:r>
        <w:rPr>
          <w:rFonts w:ascii="SimSun" w:hAnsi="SimSun" w:eastAsia="SimSun" w:cs="SimSun"/>
          <w:color w:val="000000"/>
          <w:sz w:val="24"/>
          <w:u w:val="single"/>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rPr>
          <w:rFonts w:ascii="SimSun" w:hAnsi="SimSun" w:eastAsia="SimSun" w:cs="SimSun"/>
          <w:color w:val="000000"/>
          <w:sz w:val="24"/>
          <w:u w:val="single"/>
        </w:rPr>
        <w:t xml:space="preserve">                           </w:t>
      </w:r>
      <w:r>
        <w:rPr>
          <w:rFonts w:ascii="SimSun" w:hAnsi="SimSun" w:eastAsia="SimSun" w:cs="SimSun"/>
          <w:color w:val="000000"/>
          <w:sz w:val="24"/>
        </w:rPr>
        <w:t xml:space="preserve">     账号：</w:t>
      </w:r>
      <w:r>
        <w:rPr>
          <w:rFonts w:ascii="SimSun" w:hAnsi="SimSun" w:eastAsia="SimSun" w:cs="SimSun"/>
          <w:color w:val="000000"/>
          <w:sz w:val="24"/>
          <w:u w:val="single"/>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第二部分 通用合同条款</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按照国家建设部、国家工商行政管理局制定的《建设工程施工合</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同(示范文本)》GF-2017-0201第二部分-通用条款执行。</w:t>
      </w:r>
      <w:r/>
    </w:p>
    <w:p>
      <w:pPr>
        <w:ind w:left="0" w:right="40" w:firstLine="0"/>
        <w:jc w:val="center"/>
        <w:spacing w:before="260" w:after="2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第三部分 专用合同条款</w:t>
      </w:r>
      <w:r/>
    </w:p>
    <w:p>
      <w:pPr>
        <w:ind w:left="0" w:right="0" w:firstLine="0"/>
        <w:jc w:val="both"/>
        <w:spacing w:before="260" w:after="2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一般约定</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词语定义</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1.1.1合同</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1.1.1.1其他合同文件包括：</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本合同协议书、中标通知书、投标文件及其附件、招标文件、本合同专用条款、本合同通用条款、技术标准和要求、图纸、已标价工程量清单、发包人或委托的造价咨询单位编制的标底及招标控制价、双方其他书面约定以及与本项目相关的法律法规、技术规范规程等均作为本合同附件，与本合同具有同等法律效力。履行合同过程中双方总经理以上管理者（或双方工地代表人）书面确认的对合同内容有实质性影响的会议纪要、签证、设计变更等资料。</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合同当事人及其他相关方</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1.1.2.1监理人：</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w:t>
      </w:r>
      <w:r>
        <w:rPr>
          <w:rFonts w:ascii="SimSun" w:hAnsi="SimSun" w:eastAsia="SimSun" w:cs="SimSun"/>
          <w:color w:val="000000"/>
          <w:sz w:val="24"/>
          <w:u w:val="single"/>
        </w:rPr>
        <w:t xml:space="preserve">称：/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资质类别和等级：；</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1.1.2.2 设计人：</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资质类别和等级：</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工程和设备</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1.1.3.1 作为施工现场组成部分的其他场所包括：</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按工程实际所需提供给承包人的用于施工的其他场所</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1.1.3.2 永久占地包括：</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按工程实际所需（规划红线范围内的用地）</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1.1.3.3 临时占地包括：</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发包人提供的用于本工程的除永久的其他临时占地</w:t>
      </w:r>
      <w:r>
        <w:rPr>
          <w:rFonts w:ascii="SimSun" w:hAnsi="SimSun" w:eastAsia="SimSun" w:cs="SimSun"/>
          <w:color w:val="000000"/>
          <w:sz w:val="24"/>
        </w:rPr>
        <w:t xml:space="preserve">。</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1.2法律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适用于合同的其他规范性文件：</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中华人民共和国民法典》、《中华人民共和国建筑法》、《建设工程质量管理条例》、《中华人民共和国招标投标法》、《工程建设项目施工招标投标办法》（七部委30号令）、《江苏省工程建设管理条例》、《建设工程施工发包与承包价格管理暂行规定》、《工程量清单计价规范》及国家颁发的现行水利工程施工质量验收统一标准、水利工程各专业工程施工质量验收规范及其他法律法规以及江苏省和苏州市行业主管部门颁布的相关文件规定，如地方法规与国家法规相抵触，按国家法规执行</w:t>
      </w:r>
      <w:r>
        <w:rPr>
          <w:rFonts w:ascii="SimSun" w:hAnsi="SimSun" w:eastAsia="SimSun" w:cs="SimSun"/>
          <w:color w:val="000000"/>
          <w:sz w:val="24"/>
        </w:rPr>
        <w:t xml:space="preserve">。</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标准和规范</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1.3.1适用于工程的标准规范包括：</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1、现行最新国家、行业及地方标准、规范、规程；2、现行工程施工标准规范以及质量验收标准及规范；3、双方约定的其他标准规范</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发包人提供国外标准、规范的名称：</w:t>
      </w:r>
      <w:r>
        <w:rPr>
          <w:rFonts w:ascii="SimSun" w:hAnsi="SimSun" w:eastAsia="SimSun" w:cs="SimSun"/>
          <w:color w:val="000000"/>
          <w:sz w:val="24"/>
          <w:u w:val="single"/>
        </w:rPr>
        <w:t xml:space="preserve">本工程无国外标准和规范</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发包人提供国外标准、规范的份数：</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发包人提供国外标准、规范的名称：</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1.3.3发包人对工程的技术标准和功能要求的特殊要求：</w:t>
      </w:r>
      <w:r>
        <w:rPr>
          <w:rFonts w:ascii="SimSun" w:hAnsi="SimSun" w:eastAsia="SimSun" w:cs="SimSun"/>
          <w:color w:val="000000"/>
          <w:sz w:val="24"/>
          <w:u w:val="single"/>
        </w:rPr>
        <w:t xml:space="preserve">详见技术标准及要求</w:t>
      </w:r>
      <w:r>
        <w:rPr>
          <w:rFonts w:ascii="SimSun" w:hAnsi="SimSun" w:eastAsia="SimSun" w:cs="SimSun"/>
          <w:color w:val="000000"/>
          <w:sz w:val="24"/>
        </w:rPr>
        <w:t xml:space="preserve">。</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合同文件的优先顺序</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合同文件组成及优先顺序为：</w:t>
      </w:r>
      <w:r>
        <w:rPr>
          <w:rFonts w:ascii="SimSun" w:hAnsi="SimSun" w:eastAsia="SimSun" w:cs="SimSun"/>
          <w:color w:val="000000"/>
          <w:sz w:val="24"/>
          <w:u w:val="single"/>
        </w:rPr>
        <w:t xml:space="preserve">（1）本合同协议书；（2）中标通知书；（3）投标书及其附件；（4）本合同专用条款；（5）本合同通用条款；（6）技术标准和要求；（7）图纸；（8）已标价工程量清单；（9）其他合同文件。上述各项合同文件包括合同当事人就该合同文件所作出的补充和修改，同一类的文件以最新签署的为准，如涉及技术要求方面则以标准高的为准</w:t>
      </w:r>
      <w:r>
        <w:rPr>
          <w:rFonts w:ascii="SimSun" w:hAnsi="SimSun" w:eastAsia="SimSun" w:cs="SimSun"/>
          <w:color w:val="000000"/>
          <w:sz w:val="24"/>
        </w:rPr>
        <w:t xml:space="preserve">。</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图纸和承包人文件</w:t>
        <w:tab/>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图纸的提供</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发包人向承包人提供图纸的期限：</w:t>
      </w:r>
      <w:r>
        <w:rPr>
          <w:rFonts w:ascii="SimSun" w:hAnsi="SimSun" w:eastAsia="SimSun" w:cs="SimSun"/>
          <w:color w:val="000000"/>
          <w:sz w:val="24"/>
          <w:u w:val="single"/>
        </w:rPr>
        <w:t xml:space="preserve">最迟为开工通知载明的开工日期前7天</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发包人向承包人提供图纸的数量：</w:t>
      </w:r>
      <w:r>
        <w:rPr>
          <w:rFonts w:ascii="SimSun" w:hAnsi="SimSun" w:eastAsia="SimSun" w:cs="SimSun"/>
          <w:color w:val="000000"/>
          <w:sz w:val="24"/>
          <w:u w:val="single"/>
        </w:rPr>
        <w:t xml:space="preserve">提供施工图纸3套。如承包人需要增加图纸，由承包人自行复制。如委托发包人代为复制，费用由承包人承担。</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发包人向承包人提供图纸的内容：</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全套施工蓝图。对图纸的保密要求：未经发包人同意，不得外借使用；否则，承包人应当对发包人进行赔偿，数额相当于支付设计机构的设计费用。</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承包人文件</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需要由承包人提供的文件，包括：</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监理人及发包人要求，包括完善细化投标的施工组织设计，提供实施性的施工组织设计（包括施工总进度计划、施工总平面图、施工现场人员组织机构图等），材料、设备、人员进场计划，项目组织机构人员劳动合同及社保证明，专项施工方案，深化设计方案及图纸等</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承包人提供的文件的期限为：</w:t>
      </w:r>
      <w:r>
        <w:rPr>
          <w:rFonts w:ascii="SimSun" w:hAnsi="SimSun" w:eastAsia="SimSun" w:cs="SimSun"/>
          <w:color w:val="000000"/>
          <w:sz w:val="24"/>
          <w:u w:val="single"/>
        </w:rPr>
        <w:t xml:space="preserve">按监理人及发包人要求</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承包人提供的文件的数量为：</w:t>
      </w:r>
      <w:r>
        <w:rPr>
          <w:rFonts w:ascii="SimSun" w:hAnsi="SimSun" w:eastAsia="SimSun" w:cs="SimSun"/>
          <w:color w:val="000000"/>
          <w:sz w:val="24"/>
          <w:u w:val="single"/>
        </w:rPr>
        <w:t xml:space="preserve">按监理人及发包人要求</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承包人提供的文件的形式为：</w:t>
      </w:r>
      <w:r>
        <w:rPr>
          <w:rFonts w:ascii="SimSun" w:hAnsi="SimSun" w:eastAsia="SimSun" w:cs="SimSun"/>
          <w:color w:val="000000"/>
          <w:sz w:val="24"/>
          <w:u w:val="single"/>
        </w:rPr>
        <w:t xml:space="preserve">书面及电子文件</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发包人审批承包人文件的期限：</w:t>
      </w:r>
      <w:r>
        <w:rPr>
          <w:rFonts w:ascii="SimSun" w:hAnsi="SimSun" w:eastAsia="SimSun" w:cs="SimSun"/>
          <w:color w:val="000000"/>
          <w:sz w:val="24"/>
          <w:u w:val="single"/>
        </w:rPr>
        <w:t xml:space="preserve">按监理人及发包人要求</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现场图纸准备</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关于现场图纸准备的约定：</w:t>
      </w:r>
      <w:r>
        <w:rPr>
          <w:rFonts w:ascii="SimSun" w:hAnsi="SimSun" w:eastAsia="SimSun" w:cs="SimSun"/>
          <w:color w:val="000000"/>
          <w:sz w:val="24"/>
          <w:u w:val="single"/>
        </w:rPr>
        <w:t xml:space="preserve">按监理人及发包人要求</w:t>
      </w:r>
      <w:r>
        <w:rPr>
          <w:rFonts w:ascii="SimSun" w:hAnsi="SimSun" w:eastAsia="SimSun" w:cs="SimSun"/>
          <w:color w:val="000000"/>
          <w:sz w:val="24"/>
        </w:rPr>
        <w:t xml:space="preserve">。</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联络</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1.6.1发包人和承包人应当在</w:t>
      </w:r>
      <w:r>
        <w:rPr>
          <w:rFonts w:ascii="SimSun" w:hAnsi="SimSun" w:eastAsia="SimSun" w:cs="SimSun"/>
          <w:color w:val="000000"/>
          <w:sz w:val="24"/>
          <w:u w:val="single"/>
        </w:rPr>
        <w:t xml:space="preserve"> /</w:t>
      </w:r>
      <w:r>
        <w:rPr>
          <w:rFonts w:ascii="SimSun" w:hAnsi="SimSun" w:eastAsia="SimSun" w:cs="SimSun"/>
          <w:color w:val="000000"/>
          <w:sz w:val="24"/>
        </w:rPr>
        <w:t xml:space="preserve">天内将与合同有关的通知、批准、证明、证书、指示、指令、要求、请求、同意、意见、确定和决定等书面函件送达对方当事人。</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发包人接收文件的地点：</w:t>
      </w:r>
      <w:r>
        <w:rPr>
          <w:rFonts w:ascii="SimSun" w:hAnsi="SimSun" w:eastAsia="SimSun" w:cs="SimSun"/>
          <w:color w:val="000000"/>
          <w:sz w:val="24"/>
          <w:u w:val="single"/>
        </w:rPr>
        <w:t xml:space="preserve">本工程现场办公室</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发包人指定的接收人为：。</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承包人接收文件的地点：</w:t>
      </w:r>
      <w:r>
        <w:rPr>
          <w:rFonts w:ascii="SimSun" w:hAnsi="SimSun" w:eastAsia="SimSun" w:cs="SimSun"/>
          <w:color w:val="000000"/>
          <w:sz w:val="24"/>
          <w:u w:val="single"/>
        </w:rPr>
        <w:t xml:space="preserve">本工程现场办公室</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承包人指定的接收人为：</w:t>
      </w:r>
      <w:r>
        <w:rPr>
          <w:rFonts w:ascii="SimSun" w:hAnsi="SimSun" w:eastAsia="SimSun" w:cs="SimSun"/>
          <w:color w:val="000000"/>
          <w:sz w:val="24"/>
          <w:u w:val="none"/>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监理人接收文件的地点：</w:t>
      </w:r>
      <w:r>
        <w:rPr>
          <w:rFonts w:ascii="SimSun" w:hAnsi="SimSun" w:eastAsia="SimSun" w:cs="SimSun"/>
          <w:color w:val="000000"/>
          <w:sz w:val="24"/>
          <w:u w:val="single"/>
        </w:rPr>
        <w:t xml:space="preserve">本工程现场办公室</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监理人指定的接收人为：</w:t>
      </w:r>
      <w:r>
        <w:rPr>
          <w:rFonts w:ascii="SimSun" w:hAnsi="SimSun" w:eastAsia="SimSun" w:cs="SimSun"/>
          <w:color w:val="000000"/>
          <w:sz w:val="24"/>
          <w:u w:val="single"/>
        </w:rPr>
        <w:t xml:space="preserve">总监理工程师或其授权代表</w:t>
      </w:r>
      <w:r>
        <w:rPr>
          <w:rFonts w:ascii="SimSun" w:hAnsi="SimSun" w:eastAsia="SimSun" w:cs="SimSun"/>
          <w:color w:val="000000"/>
          <w:sz w:val="24"/>
        </w:rPr>
        <w:t xml:space="preserve">。</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1.7交通运输</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出入现场的权利</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关于出入现场的权利的约定：</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由承包人负责取得出入施工现场所需的批准手续和全部权利，以及取得因施工进场所需修建道路、桥梁以及其他基础设施的权利，并承担相关手续费用和建设费用</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场内交通</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关于场外交通和场内交通的边界的约定：</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本项目施工图纸的范围为界</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关于发包人向承包人免费提供满足工程施工需要的场内道路和交通设施的约定：</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按相关规定要求，但相关费用含在合同价中</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1.7.3超大件和超重件的运输</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运输超大件或超重件所需的道路和桥梁临时加固改造费用和其他有关费用由</w:t>
      </w:r>
      <w:r>
        <w:rPr>
          <w:rFonts w:ascii="SimSun" w:hAnsi="SimSun" w:eastAsia="SimSun" w:cs="SimSun"/>
          <w:color w:val="000000"/>
          <w:sz w:val="24"/>
          <w:u w:val="single"/>
        </w:rPr>
        <w:t xml:space="preserve">承包人</w:t>
      </w:r>
      <w:r>
        <w:rPr>
          <w:rFonts w:ascii="SimSun" w:hAnsi="SimSun" w:eastAsia="SimSun" w:cs="SimSun"/>
          <w:color w:val="000000"/>
          <w:sz w:val="24"/>
        </w:rPr>
        <w:t xml:space="preserve">承担。</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 知识产权</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1.8.1关于发包人提供给承包人的图纸、发包人为实施工程自行编制或委托编制的技术规范以及反映发包人关于合同要求或其他类似性质的文件的著作权的归属：</w:t>
      </w:r>
      <w:r>
        <w:rPr>
          <w:rFonts w:ascii="SimSun" w:hAnsi="SimSun" w:eastAsia="SimSun" w:cs="SimSun"/>
          <w:color w:val="000000"/>
          <w:sz w:val="24"/>
          <w:u w:val="single"/>
        </w:rPr>
        <w:t xml:space="preserve">属于发包人，构成本招标文件各个组成部分的文件，未经招标人书面同意，投标人不得擅自复印和用于非本招标项目所需的其他目的。招标人全部或者分使用未中标人投文件的技术成果方案时，需征得其书面同意，并不得擅自复印或提供给第三人。</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关于发包人提供的上述文件的使用限制的要求：</w:t>
      </w:r>
      <w:r>
        <w:rPr>
          <w:rFonts w:ascii="SimSun" w:hAnsi="SimSun" w:eastAsia="SimSun" w:cs="SimSun"/>
          <w:color w:val="000000"/>
          <w:sz w:val="24"/>
          <w:u w:val="single"/>
        </w:rPr>
        <w:t xml:space="preserve">执行通用条款</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关于承包人为实施工程所编制文件的著作权的归属：</w:t>
      </w:r>
      <w:r>
        <w:rPr>
          <w:rFonts w:ascii="SimSun" w:hAnsi="SimSun" w:eastAsia="SimSun" w:cs="SimSun"/>
          <w:color w:val="000000"/>
          <w:sz w:val="24"/>
          <w:u w:val="single"/>
        </w:rPr>
        <w:t xml:space="preserve">属于承发包人共有</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关于承包人提供的上述文件的使用限制的要求：</w:t>
      </w:r>
      <w:r>
        <w:rPr>
          <w:rFonts w:ascii="SimSun" w:hAnsi="SimSun" w:eastAsia="SimSun" w:cs="SimSun"/>
          <w:color w:val="000000"/>
          <w:sz w:val="24"/>
          <w:u w:val="single"/>
        </w:rPr>
        <w:t xml:space="preserve">执行通用条款</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1.8.3承包人在施工过程中所采用的专利、专有技术、技术秘密的使用费的承担方式：</w:t>
      </w:r>
      <w:r>
        <w:rPr>
          <w:rFonts w:ascii="SimSun" w:hAnsi="SimSun" w:eastAsia="SimSun" w:cs="SimSun"/>
          <w:color w:val="000000"/>
          <w:sz w:val="24"/>
          <w:u w:val="single"/>
        </w:rPr>
        <w:t xml:space="preserve">如产生费用,由承包人自行承担</w:t>
      </w:r>
      <w:r>
        <w:rPr>
          <w:rFonts w:ascii="SimSun" w:hAnsi="SimSun" w:eastAsia="SimSun" w:cs="SimSun"/>
          <w:color w:val="000000"/>
          <w:sz w:val="24"/>
        </w:rPr>
        <w:t xml:space="preserve">。</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1.9工程量清单错误的修正</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出现工程量清单错误时，是否调整合同价格：</w:t>
      </w:r>
      <w:r>
        <w:rPr>
          <w:rFonts w:ascii="SimSun" w:hAnsi="SimSun" w:eastAsia="SimSun" w:cs="SimSun"/>
          <w:color w:val="000000"/>
          <w:sz w:val="24"/>
          <w:u w:val="single"/>
        </w:rPr>
        <w:t xml:space="preserve">按合同规定。</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允许调整合同价格的工程量偏差范围：</w:t>
      </w:r>
      <w:r>
        <w:rPr>
          <w:rFonts w:ascii="SimSun" w:hAnsi="SimSun" w:eastAsia="SimSun" w:cs="SimSun"/>
          <w:color w:val="000000"/>
          <w:sz w:val="24"/>
          <w:u w:val="single"/>
        </w:rPr>
        <w:t xml:space="preserve">见专用合同条款10.2条规定</w:t>
      </w:r>
      <w:r/>
    </w:p>
    <w:p>
      <w:pPr>
        <w:ind w:left="0" w:right="0" w:firstLine="0"/>
        <w:jc w:val="both"/>
        <w:spacing w:before="260" w:after="2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 发包人</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2.1发包人代表</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发包人代表：</w:t>
      </w:r>
      <w:r>
        <w:rPr>
          <w:rFonts w:ascii="SimSun" w:hAnsi="SimSun" w:eastAsia="SimSun" w:cs="SimSun"/>
          <w:color w:val="000000"/>
          <w:sz w:val="24"/>
          <w:u w:val="single"/>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rPr>
          <w:rFonts w:ascii="SimSun" w:hAnsi="SimSun" w:eastAsia="SimSun" w:cs="SimSun"/>
          <w:color w:val="000000"/>
          <w:sz w:val="24"/>
          <w:u w:val="single"/>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发包人对发包人代表的授权范围如下：</w:t>
      </w:r>
      <w:r>
        <w:rPr>
          <w:rFonts w:ascii="SimSun" w:hAnsi="SimSun" w:eastAsia="SimSun" w:cs="SimSun"/>
          <w:color w:val="000000"/>
          <w:sz w:val="24"/>
          <w:u w:val="single"/>
        </w:rPr>
        <w:t xml:space="preserve">经发包人授权并在授权范围内代表发包人行使业主权利，监督本工程各参建方的各项行为，控制本工程的实施全过程，对投资、进度、质量、安全有表决权，签发或签署各种相关指令、报表及支付凭证，处理施工过程中的各有关事宜。</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施工现场、施工条件和基础资料的提供</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提供施工现场</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关于发包人移交施工现场的期限要求：</w:t>
      </w:r>
      <w:r>
        <w:rPr>
          <w:rFonts w:ascii="SimSun" w:hAnsi="SimSun" w:eastAsia="SimSun" w:cs="SimSun"/>
          <w:color w:val="000000"/>
          <w:sz w:val="24"/>
          <w:u w:val="single"/>
        </w:rPr>
        <w:t xml:space="preserve">发包人应最迟于开工日期7天前向承包人移交施工现场。</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提供施工条件</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关于发包人应负责提供施工所需要的条件，包括：</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（1)施工场地具备施工条件的要求及完成的时间：已基本到位，承包人已自行现场踏勘并充分了解现场条件，相关费用已包含在投标报价中。</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施工所需的水、电、电讯线路接至施工场地的时间、地点和供应要求：由发包人提供施工用水水源和用电电源接驳点，其余由施工单位自行架设或铺设，并满足施工要求，接入点至施工现场段管道/管线、计量设备由承包人自行解决，并自行缴纳水电费，施工用电用水费用包已含在承包人合同价中。</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（3)施工场地与公共道路的通道开通时间和要求：承包人自行办理和承担费用，发包人配合。</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（4)工程地质和地下管线资料的提供时间：需要时工程地质勘察报告、地下管线资料由发包人提供，承包人协助收集，相关费用承包人在报价中已充分考虑。</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（5)由发包人办理的施工所需证件、批件的名称和完成时间：施工许可证及开工所需的有关证件由承包人协助发包人共同办理。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（6)水准点与座标控制点交验要求: 正式开工前，书面提供、现场交接。</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（7)图纸会审和设计交底时间：正式开工前。</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 协调处理施工场地周围地下管线和邻近建筑物、构筑物（含文物保护建筑）、古树名木 的保护工作：承包人负责处理，如有费用支出由相关责任人承担。</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（9)双方约定发包人应做的其他工作：如涉及，双方现场协商</w:t>
      </w:r>
      <w:r>
        <w:rPr>
          <w:rFonts w:ascii="SimSun" w:hAnsi="SimSun" w:eastAsia="SimSun" w:cs="SimSun"/>
          <w:color w:val="000000"/>
          <w:sz w:val="24"/>
        </w:rPr>
        <w:t xml:space="preserve">。</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资金来源证明及支付担保</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发包人提供资金来源证明的期限要求：</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发包人是否提供支付担保：</w:t>
      </w:r>
      <w:r>
        <w:rPr>
          <w:rFonts w:ascii="SimSun" w:hAnsi="SimSun" w:eastAsia="SimSun" w:cs="SimSun"/>
          <w:color w:val="000000"/>
          <w:sz w:val="24"/>
          <w:u w:val="single"/>
        </w:rPr>
        <w:t xml:space="preserve">否，但发包人要求承包人提供履约担保</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发包人提供支付担保的形式：</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0"/>
        <w:jc w:val="both"/>
        <w:spacing w:before="260" w:after="2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承包人</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承包人的一般义务</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（1）承包人提交的竣工资料的内容：</w:t>
      </w:r>
      <w:r>
        <w:rPr>
          <w:rFonts w:ascii="SimSun" w:hAnsi="SimSun" w:eastAsia="SimSun" w:cs="SimSun"/>
          <w:color w:val="000000"/>
          <w:sz w:val="24"/>
          <w:u w:val="single"/>
        </w:rPr>
        <w:t xml:space="preserve">提供符合苏州市建设工程档案归档规范要求及苏州市城建档案馆和行政质检监督部门要求的竣工图、竣工资料，竣工结算资料及苏州市规定的其他资料。</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承包人需要提交的竣工资料套数：</w:t>
      </w:r>
      <w:r>
        <w:rPr>
          <w:rFonts w:ascii="SimSun" w:hAnsi="SimSun" w:eastAsia="SimSun" w:cs="SimSun"/>
          <w:color w:val="000000"/>
          <w:sz w:val="24"/>
          <w:u w:val="single"/>
        </w:rPr>
        <w:t xml:space="preserve">提供符合苏州市建设工程档案归档规范要求及苏州市城建档案馆要求的竣工图纸及资料各四套</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承包人提交的竣工资料的费用承担：</w:t>
      </w:r>
      <w:r>
        <w:rPr>
          <w:rFonts w:ascii="SimSun" w:hAnsi="SimSun" w:eastAsia="SimSun" w:cs="SimSun"/>
          <w:color w:val="000000"/>
          <w:sz w:val="24"/>
          <w:u w:val="single"/>
        </w:rPr>
        <w:t xml:space="preserve">承包人自行承担</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承包人提交的竣工资料移交时间：</w:t>
      </w:r>
      <w:r>
        <w:rPr>
          <w:rFonts w:ascii="SimSun" w:hAnsi="SimSun" w:eastAsia="SimSun" w:cs="SimSun"/>
          <w:color w:val="000000"/>
          <w:sz w:val="24"/>
          <w:u w:val="single"/>
        </w:rPr>
        <w:t xml:space="preserve">竣工验收后30日内</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承包人提交的竣工资料形式要求：</w:t>
      </w:r>
      <w:r>
        <w:rPr>
          <w:rFonts w:ascii="SimSun" w:hAnsi="SimSun" w:eastAsia="SimSun" w:cs="SimSun"/>
          <w:color w:val="000000"/>
          <w:sz w:val="24"/>
          <w:u w:val="single"/>
        </w:rPr>
        <w:t xml:space="preserve">纸质及电子光盘，符合苏州市建设工程档案归档规范要求及苏州市城建档案馆要求</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（2）承包人应履行的其他义务：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办理法律规定的应由承包人办理的许可和批准，并将办理结果书面报送发包人留存；承包人还应配合发包人负责办理质量监督委托、安全监督委托及施工许可证等开工手续，并配合发包人负责办理竣工验收备案、工程档案移交、工程项目移交的相关手续以及负责进行工程移交。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2）按法律规定和合同约定完成工程，并在保修期内承担保修义务。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3）承包人应严格按照《江苏省建筑施工现场文明施工管理规定》落实安全文明施工，如工程实施期间国家、省、市有新的安全文明施工要求的，承包人应无条件执行。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4）承包人应根据工程进度计划的要求编制详细的施工组织设计、专项施工方案、见证取样送检方案等，对施工作业和施工方法的完备性和可靠性负责。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承包人应提供计划、报表的名称及完成时间：正式开工之前二日，完善细化投标的施工组织设计，提供实施性的施工组织设计、材料、设备、人员进场计划及当月工程进度计划。工程进度计划要充分考虑邻近工程的进度情况。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承包人应承担施工安全保卫工作及非夜间施工照明的责任和要求：承包方全权负责，并在报价中考虑相应费用。承包人必须提供和维修整个工程期间使用的照明、围栏设施，并负责安全保卫，确保过路行人的安全。因承包人未设置以上照明、围栏导致的安全事故由承包人负责，并承担可能产生的一切费用。保证施工期间对居民的影响减少到最低程度所采取的各项措施及保证完成100%工作量所采取的对居民协调工作的各项措施必须详细、全面、可行；保证居民的通道畅通，施工场地的卫生，控制噪音及三废的排放，负责施工场合的治安保障工作，以上所有费用考虑在投</w:t>
      </w:r>
      <w:r>
        <w:rPr>
          <w:rFonts w:ascii="SimSun" w:hAnsi="SimSun" w:eastAsia="SimSun" w:cs="SimSun"/>
          <w:color w:val="000000"/>
          <w:sz w:val="24"/>
        </w:rPr>
        <w:t xml:space="preserve">标报价中。工程施工现场应配备必要的标示标牌等指示设施，费用自行考虑，计入措施费。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7）承包人向发包人提供的办公和生活房屋及设施的要求：无偿提供业主办公室间，监理办公室1间，费用由承包人承担。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8）需承包人办理的有关施工场地交通、环卫和施工噪音管理等手续：按苏州市颁布的有关建设工程施工现场交通、环卫、防噪音等方面的管理规定办理并由承包人承担相应费用。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已完工程成品保护的特殊要求及费用承担：承包人应做好成品保护工作，对原材料、半成品、工序产品以及已完成的分部分项产品进行有效的保护，否则一旦造成损坏，将会增加修复工作，带来工、料浪费、工期拖延及经济损失的，由承包人承担。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10）施工场地周围地下管线和邻近建筑物、构筑物（含文物保护建筑）、古树名木的保护要求及费用承担：承包人负责处理，如有费用支出由相关责任人承担。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施工场地清洁卫生的要求：施工期间按环卫、城管、建设行政主管部门的要求执行，施工后做到工完场清。承包方在工程实施期间负责每天将施工场地范围内的所有地面和地下建筑垃圾、建筑杂物、生活垃圾等清理干净，并及时清除出施工现场。如承包方不作清理或清理不干净，发包人有权委托其他单位或个人清理，所产生的一切费用由承包方负责。发包人在工程款结算时在承包方的工程款中扣除。工地施工余料或废弃物（含不符合招标要求的苗木等）不得在现场丢弃，否则，承包人按2000 元/次作为违约金无条件支付。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12）双方约定承包人应做的其他工作：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A、办理开工前相关手续，费用按规定各自承担。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B、承包人在合同生效后天内向发包人提交招标工程量清单偏差报告书，并与发包人或发包人委托造价人员进行核对；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C、承包人应在开工前编制工程试验检测方案（应包括检测项目和数量），报监理及发包人审核后签订。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承包人负责办理防雷检测、白蚁防治等工程验收所必须的各类工作，相关费用按地方规定执行。若承包人未能及时办理或因承包人原因未能一次完成的，相关费用和由此造成工期延误及经济损失的由承包人承担。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承包人负责核对施工图纸中相关预留孔洞的尺寸、位置、形状，校核无误后方可施工；负责室内所有机电安装综合管线排列，室外综合管网排列，所有管线排列后经发包人及设计院确认后方可组织施工；否则由此造成的返工及损失由承包人承担。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F、承包人负责在工程建设期间拍摄、制作声像及影音资料，尤其是工程重点部位、关键工序、重要节点、重大活动声像及影音资料要求保证及时、完整、高质，声像及影音资料制作。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G、承包人在室外管网开始施工前，应对发包人提供的室外管网接驳点位置、标高进行校核，避免造成不必要的损失。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承包人应保证现场关键部位的施工连续性，当上述关键部位施工中出现断电等情况时，承包人应自备柴油发电机组，保证连续施工。柴油发电机组的租赁费、进出场费及燃料等费用由承包人承担，包含在合同总价中。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I、承包人应服从发包人委托的项目管理公司（或监理人）的管理与监理。对无故不服从监理指令的行为每发生一次，承包人向发包人支付0.5 万元/次人民币的违约金。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承包人施工前，应自行或委托有资质的测量单位对施工范围内的原地面标高进行测量（建立10m*10m方格网，方格网上点位标高均需测量），测量时书面通知监理及建设单位负责人到场，并出具施工现场原地面标高成果文件，成果文件经建设单位审核确认后作为结算土方工程量计算的参考依据。如承包人未按要求进行原地面标高测量的，实施过程中土方工程量认定产生纠纷的，以有利于发包人的判定为准，承包人不得有任何异议。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K、承包人应配合做好地下室预埋管线的封堵工作。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L、承包人施工过程中应符合开发区相关环境整治规定要求。</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项目经理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项目经理：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建造师执业资格等级：</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建造师注册证书号：</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安全生产考核合格证书号：</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承包人对项目经理的授权范围如下：</w:t>
      </w:r>
      <w:r>
        <w:rPr>
          <w:rFonts w:ascii="SimSun" w:hAnsi="SimSun" w:eastAsia="SimSun" w:cs="SimSun"/>
          <w:color w:val="000000"/>
          <w:sz w:val="24"/>
          <w:u w:val="single"/>
        </w:rPr>
        <w:t xml:space="preserve">项目经理应按监理工程师批准的施工组织设计 (施工方案）和监理工程师根据合同发出的指令组织施工。除非合同中另有约定，项目经理应按监理工程师批准的施工组织设计（施工方案）和监理工程师根据合同发出的指令组织施工。除非合同中另有约定，项目经理应受理合同范围内的所有通知、指示、 同意、批准、证书和决定。承包人根据合同发出的通知、请示、要求等，应以书面形式由项目经理签字盖章后送交监理工程师</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关于项目经理每月在施工现场的时间要求：</w:t>
      </w:r>
      <w:r>
        <w:rPr>
          <w:rFonts w:ascii="SimSun" w:hAnsi="SimSun" w:eastAsia="SimSun" w:cs="SimSun"/>
          <w:color w:val="000000"/>
          <w:sz w:val="24"/>
          <w:u w:val="single"/>
        </w:rPr>
        <w:t xml:space="preserve">项目经理在同一合同期内严禁兼任另一合同的项目经理，在整个工程实施过程中，承包人成立项目经理部，派出原投标书中承诺的项目经理常驻现场组织施工管理（项目经理和技术负责人每月带班时间不得少于本月施工时间的80%，工地例会必须参加，施工期间安全员必须在现场履职）。如果项目经理、技术负责人或安全员缺勤，每天按人民币2000元扣减工程款。对项目经理、技术负责人或安全员一个月以上考核达不到要求的，除对乙方处以违约金外，同时甲方将上报住建局等有关部门对乙方进行不良行为记录</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项目经理未经批准，擅自离开施工现场的违约责任：</w:t>
      </w:r>
      <w:r>
        <w:rPr>
          <w:rFonts w:ascii="SimSun" w:hAnsi="SimSun" w:eastAsia="SimSun" w:cs="SimSun"/>
          <w:color w:val="000000"/>
          <w:sz w:val="24"/>
          <w:u w:val="single"/>
        </w:rPr>
        <w:t xml:space="preserve">按2000元/次计违约金，按次累计计算，不封顶，承包人承担上述违约给发包人造成的一切损失。该款项扣除时无需经承包人同意，由发包人直接在工程款中扣除，工程结束不返还</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 承包人擅自更换项目经理的违约责任：</w:t>
      </w:r>
      <w:r>
        <w:rPr>
          <w:rFonts w:ascii="SimSun" w:hAnsi="SimSun" w:eastAsia="SimSun" w:cs="SimSun"/>
          <w:color w:val="000000"/>
          <w:sz w:val="24"/>
          <w:u w:val="single"/>
        </w:rPr>
        <w:t xml:space="preserve">按2万元/次计违约金，按次累计计算，不封顶，承包人承担上述违约给发包人造成的一切损失。该款项扣除时无需经承包人同意，由发包人直接在工程款中扣除，工程结束不返还</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3.2.3承包人无正当理由拒绝更换项目经理的违约责任：</w:t>
      </w:r>
      <w:r>
        <w:rPr>
          <w:rFonts w:ascii="SimSun" w:hAnsi="SimSun" w:eastAsia="SimSun" w:cs="SimSun"/>
          <w:color w:val="000000"/>
          <w:sz w:val="24"/>
          <w:u w:val="single"/>
        </w:rPr>
        <w:t xml:space="preserve">若发包人会同监理机构认为项目经理不能胜任本职工作，一经提出，承包人必须在一周内无条件予以撤换，直至满足工作需要，承包人无正当理由拒绝更换项目经理的，承包人必须支付发包人2万元/次计违约金，不封顶，承包人承担上述违约给发包人造成的一切损失，直至终止合同。该款项扣除时无需经承包人同意，由发包人直接在工程款中扣除，工程结束不返还</w:t>
      </w:r>
      <w:r>
        <w:rPr>
          <w:rFonts w:ascii="SimSun" w:hAnsi="SimSun" w:eastAsia="SimSun" w:cs="SimSun"/>
          <w:color w:val="000000"/>
          <w:sz w:val="24"/>
        </w:rPr>
        <w:t xml:space="preserve">。</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承包人人员</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 承包人提交项目管理机构及施工现场管理人员安排报告的期限：</w:t>
      </w:r>
      <w:r>
        <w:rPr>
          <w:rFonts w:ascii="SimSun" w:hAnsi="SimSun" w:eastAsia="SimSun" w:cs="SimSun"/>
          <w:color w:val="000000"/>
          <w:sz w:val="24"/>
          <w:u w:val="single"/>
        </w:rPr>
        <w:t xml:space="preserve">正式开工前7日内</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 承包人无正当理由拒绝撤换主要施工管理人员的违约责任：</w:t>
      </w:r>
      <w:r>
        <w:rPr>
          <w:rFonts w:ascii="SimSun" w:hAnsi="SimSun" w:eastAsia="SimSun" w:cs="SimSun"/>
          <w:color w:val="000000"/>
          <w:sz w:val="24"/>
          <w:u w:val="single"/>
        </w:rPr>
        <w:t xml:space="preserve">若发包人会同监理机构认为主要施工管理人员不能胜任本职工作，一经提出，承包人必须在一周内无条件予以撤换，直至满足工作需要，承包人无正当理由拒绝更的，承包人必须支付发包人1万元/次计违约金，不封顶，承包人承担上述违约给发包人造成的一切损失，直至终止合同。该款项扣除时无需经承包人同意，由发包人直接在工程款中扣除，工程结束不返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 承包人主要施工管理人员离开施工现场的批准要求：</w:t>
      </w:r>
      <w:r>
        <w:rPr>
          <w:rFonts w:ascii="SimSun" w:hAnsi="SimSun" w:eastAsia="SimSun" w:cs="SimSun"/>
          <w:color w:val="000000"/>
          <w:sz w:val="24"/>
          <w:u w:val="single"/>
        </w:rPr>
        <w:t xml:space="preserve">承包人书面申请报监理工程师及发包人现场代表批准还有方可离开现场，未经同意，任何一个人擅自离开，每发现一次交纳违约金2000元。</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3.3.4承包人擅自更换主要施工管理人员的违约责任：</w:t>
      </w:r>
      <w:r>
        <w:rPr>
          <w:rFonts w:ascii="SimSun" w:hAnsi="SimSun" w:eastAsia="SimSun" w:cs="SimSun"/>
          <w:color w:val="000000"/>
          <w:sz w:val="24"/>
          <w:u w:val="single"/>
        </w:rPr>
        <w:t xml:space="preserve">按1万元/次计违约金，按次累计计算，不封顶，承包人承担上述违约给发包人造成的一切损失。该款项扣除时无需经承包人同意，由发包人直接在工程款中扣除，工程结束不返还</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承包人主要施工管理人员擅自离开施工现场的违约责任：</w:t>
      </w:r>
      <w:r>
        <w:rPr>
          <w:rFonts w:ascii="SimSun" w:hAnsi="SimSun" w:eastAsia="SimSun" w:cs="SimSun"/>
          <w:color w:val="000000"/>
          <w:sz w:val="24"/>
          <w:u w:val="single"/>
        </w:rPr>
        <w:t xml:space="preserve">按2000元/次计违约金，按次累计计算，不封顶，承包人承担上述违约给发包人造成的一切损失。该款项扣除时无需经承包人同意，由发包人直接在工程款中扣除，工程结束不返还</w:t>
      </w:r>
      <w:r>
        <w:rPr>
          <w:rFonts w:ascii="SimSun" w:hAnsi="SimSun" w:eastAsia="SimSun" w:cs="SimSun"/>
          <w:color w:val="000000"/>
          <w:sz w:val="24"/>
        </w:rPr>
        <w:t xml:space="preserve">。</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 分包</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 分包的一般约定</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禁止分包的工程包括：</w:t>
      </w:r>
      <w:r>
        <w:rPr>
          <w:rFonts w:ascii="SimSun" w:hAnsi="SimSun" w:eastAsia="SimSun" w:cs="SimSun"/>
          <w:color w:val="000000"/>
          <w:sz w:val="24"/>
          <w:u w:val="single"/>
        </w:rPr>
        <w:t xml:space="preserve">未经发包人同意，承包人不得将本工程的任何一部分分包，如果发现，建设单位将终止、解除施工合同，所有一切损失由承包人承担</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主体结构、关键性工作的范围：</w:t>
      </w:r>
      <w:r>
        <w:rPr>
          <w:rFonts w:ascii="SimSun" w:hAnsi="SimSun" w:eastAsia="SimSun" w:cs="SimSun"/>
          <w:color w:val="000000"/>
          <w:sz w:val="24"/>
          <w:u w:val="single"/>
        </w:rPr>
        <w:t xml:space="preserve">按现行相关文件规定执行</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3.5.2分包的确定</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允许分包的专业工程包括：</w:t>
      </w:r>
      <w:r>
        <w:rPr>
          <w:rFonts w:ascii="SimSun" w:hAnsi="SimSun" w:eastAsia="SimSun" w:cs="SimSun"/>
          <w:color w:val="000000"/>
          <w:sz w:val="24"/>
          <w:u w:val="single"/>
        </w:rPr>
        <w:t xml:space="preserve">按现行相关文件规定执行</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其他关于分包的约定：</w:t>
      </w:r>
      <w:r>
        <w:rPr>
          <w:rFonts w:ascii="SimSun" w:hAnsi="SimSun" w:eastAsia="SimSun" w:cs="SimSun"/>
          <w:color w:val="000000"/>
          <w:sz w:val="24"/>
          <w:u w:val="single"/>
        </w:rPr>
        <w:t xml:space="preserve">本工程不得转包或未经发包人书面认可不得分包，一经发现有此情况作违约处理，违约金为转包或分包项目的造价金额，发包人有权终止合同，并要求承包人赔偿相应损失</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3.5.3 分包合同价款</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关于分包合同价款支付的约定：</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 工程照管与成品、半成品保护</w:t>
      </w:r>
      <w:r/>
    </w:p>
    <w:p>
      <w:pPr>
        <w:ind w:left="0" w:right="0" w:firstLine="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承包人负责照管工程及工程相关的材料、工程设备的起始时间：</w:t>
      </w:r>
      <w:r>
        <w:rPr>
          <w:rFonts w:ascii="SimSun" w:hAnsi="SimSun" w:eastAsia="SimSun" w:cs="SimSun"/>
          <w:color w:val="000000"/>
          <w:sz w:val="24"/>
          <w:u w:val="single"/>
        </w:rPr>
        <w:t xml:space="preserve">从开工之日起至完成移交</w:t>
      </w:r>
      <w:r>
        <w:rPr>
          <w:rFonts w:ascii="SimSun" w:hAnsi="SimSun" w:eastAsia="SimSun" w:cs="SimSun"/>
          <w:color w:val="000000"/>
          <w:sz w:val="24"/>
        </w:rPr>
        <w:t xml:space="preserve">。</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 履约担保</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承包人是否提供履约担保：</w:t>
      </w:r>
      <w:r>
        <w:rPr>
          <w:rFonts w:ascii="SimSun" w:hAnsi="SimSun" w:eastAsia="SimSun" w:cs="SimSun"/>
          <w:color w:val="000000"/>
          <w:sz w:val="24"/>
          <w:u w:val="single"/>
        </w:rPr>
        <w:t xml:space="preserve">是</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承包人提供履约担保的形式、金额及期限：</w:t>
      </w:r>
      <w:r>
        <w:rPr>
          <w:rFonts w:ascii="SimSun" w:hAnsi="SimSun" w:eastAsia="SimSun" w:cs="SimSun"/>
          <w:color w:val="000000"/>
          <w:sz w:val="24"/>
          <w:u w:val="single"/>
        </w:rPr>
        <w:t xml:space="preserve">发出中标通知书后，应由中标单位提供合同总价5%的履约保证金或合同总价10%的履约保函，然后方可与承包商签订合同。保函出具银行范围须是苏州市级分行、园区、相城分(支)行或苏相合作区支行。工程竣工验收合格后，退还履约保证金或履约保函（无息）。</w:t>
      </w:r>
      <w:r/>
    </w:p>
    <w:p>
      <w:pPr>
        <w:ind w:left="0" w:right="0" w:firstLine="0"/>
        <w:jc w:val="both"/>
        <w:spacing w:before="260" w:after="2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 监理人</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4.1监理人的一般规定</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关于监理人的监理内容：</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承包人承包范围内的所有工程，详见本项目监理合同，并符合相关规范规程等要求</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关于监理人的监理权限：</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详见本项目监理合同，并符合相关规范规程等要求。发包人委托的职权：施工期间的“五控”、“二管”、“一协调”。 需要取得发包人批准才能行使的职权： A、同时担任多个项目的总监；B、调整批准的监理规划；C、调换总监代表或主要专业监理工程师；D、签发开、停工令；E、处理施工索赔问题，审批工期延长；F、审批工程变更的费用和工期费用</w:t>
      </w: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关于监理人在施工现场的办公场所、生活场所的提供和费用承担的约定：</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承包人提供并承担费用(合同价包含此费用)</w:t>
      </w:r>
      <w:r>
        <w:rPr>
          <w:rFonts w:ascii="SimSun" w:hAnsi="SimSun" w:eastAsia="SimSun" w:cs="SimSun"/>
          <w:color w:val="000000"/>
          <w:sz w:val="24"/>
        </w:rPr>
        <w:t xml:space="preserve">。</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监理人员</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总监理工程师：</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监理工程师执业资格证书号：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关于监理人的其他约定：</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详见本项目监理合同，并符合相关规范规程等要求</w:t>
      </w:r>
      <w:r>
        <w:rPr>
          <w:rFonts w:ascii="SimSun" w:hAnsi="SimSun" w:eastAsia="SimSun" w:cs="SimSun"/>
          <w:color w:val="000000"/>
          <w:sz w:val="24"/>
        </w:rPr>
        <w:t xml:space="preserve">。</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 商定或确定</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在发包人和承包人不能通过协商达成一致意见时，发包人授权监理人对以下事项进行确定：</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通过工地例会确定</w:t>
      </w:r>
      <w:r>
        <w:rPr>
          <w:rFonts w:ascii="SimSun" w:hAnsi="SimSun" w:eastAsia="SimSun" w:cs="SimSun"/>
          <w:color w:val="000000"/>
          <w:sz w:val="24"/>
        </w:rPr>
        <w:t xml:space="preserve">。</w:t>
      </w:r>
      <w:r/>
    </w:p>
    <w:p>
      <w:pPr>
        <w:ind w:left="0" w:right="0" w:firstLine="0"/>
        <w:jc w:val="both"/>
        <w:spacing w:before="260" w:after="2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工程质量</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质量要求</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 特殊质量标准和要求：</w:t>
      </w:r>
      <w:r>
        <w:rPr>
          <w:rFonts w:ascii="SimSun" w:hAnsi="SimSun" w:eastAsia="SimSun" w:cs="SimSun"/>
          <w:color w:val="000000"/>
          <w:sz w:val="24"/>
          <w:u w:val="single"/>
        </w:rPr>
        <w:t xml:space="preserve">合格，见补充条款</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关于工程奖项的约定：</w:t>
      </w:r>
      <w:r>
        <w:rPr>
          <w:rFonts w:ascii="SimSun" w:hAnsi="SimSun" w:eastAsia="SimSun" w:cs="SimSun"/>
          <w:color w:val="000000"/>
          <w:sz w:val="24"/>
          <w:u w:val="single"/>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5.2发包人提供的材料和工程设备：无。</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 隐蔽工程检查</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5.3.1承包人提前通知监理人隐蔽工程检查的期限的约定：</w:t>
      </w:r>
      <w:r>
        <w:rPr>
          <w:rFonts w:ascii="SimSun" w:hAnsi="SimSun" w:eastAsia="SimSun" w:cs="SimSun"/>
          <w:color w:val="000000"/>
          <w:sz w:val="24"/>
          <w:u w:val="single"/>
        </w:rPr>
        <w:t xml:space="preserve">共同检查前48小时书面通知监理人。对实施后无法进行复核的变更签证（如拆除、垃圾清运等）,承包方必须留下可证明相应工作量的影像资料，结算时如无影像资料或提供资料无法反映相应的工作量，结算审核时有权按照有利于发包方权利进行处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监理人不能按时进行检查时，应提前</w:t>
      </w:r>
      <w:r>
        <w:rPr>
          <w:rFonts w:ascii="SimSun" w:hAnsi="SimSun" w:eastAsia="SimSun" w:cs="SimSun"/>
          <w:color w:val="000000"/>
          <w:sz w:val="24"/>
          <w:u w:val="single"/>
        </w:rPr>
        <w:t xml:space="preserve"> 24  </w:t>
      </w:r>
      <w:r>
        <w:rPr>
          <w:rFonts w:ascii="SimSun" w:hAnsi="SimSun" w:eastAsia="SimSun" w:cs="SimSun"/>
          <w:color w:val="000000"/>
          <w:sz w:val="24"/>
        </w:rPr>
        <w:t xml:space="preserve">小时提交书面延期要求。</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关于延期最长不得超过：</w:t>
      </w:r>
      <w:r>
        <w:rPr>
          <w:rFonts w:ascii="SimSun" w:hAnsi="SimSun" w:eastAsia="SimSun" w:cs="SimSun"/>
          <w:color w:val="000000"/>
          <w:sz w:val="24"/>
          <w:u w:val="single"/>
        </w:rPr>
        <w:t xml:space="preserve"> 48 </w:t>
      </w:r>
      <w:r>
        <w:rPr>
          <w:rFonts w:ascii="SimSun" w:hAnsi="SimSun" w:eastAsia="SimSun" w:cs="SimSun"/>
          <w:color w:val="000000"/>
          <w:sz w:val="24"/>
        </w:rPr>
        <w:t xml:space="preserve">小时。</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5.4禁止使用不合格的材料和工程设备。</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5.4.1承包人擅自使用与合同、图纸及投标承诺不符的材料、设备、成品和半成品的违约金：</w:t>
      </w:r>
      <w:r>
        <w:rPr>
          <w:rFonts w:ascii="SimSun" w:hAnsi="SimSun" w:eastAsia="SimSun" w:cs="SimSun"/>
          <w:color w:val="000000"/>
          <w:sz w:val="24"/>
          <w:u w:val="single"/>
        </w:rPr>
        <w:t xml:space="preserve">按10万元/次计违约金，按次累计计算，不封顶，承包人承担上述违约给发包人造成的一切损失。该款项扣除时无需经承包人同意，由发包人直接在工程款中扣除，工程结束不返还。</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5.4.2在承包人供应的所有工程材料有效使用寿命期内，如发生非发包人原因的质量事故，造成人员(含对第三方)人身伤害和财产损失的，均由承包人承担所有责任。</w:t>
      </w:r>
      <w:r/>
    </w:p>
    <w:p>
      <w:pPr>
        <w:ind w:left="0" w:right="0" w:firstLine="0"/>
        <w:jc w:val="both"/>
        <w:spacing w:before="260" w:after="2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 安全文明施工与环境保护</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6.1安全文明施工</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 项目安全生产的达标目标及相应事项的约定：</w:t>
      </w:r>
      <w:r>
        <w:rPr>
          <w:rFonts w:ascii="SimSun" w:hAnsi="SimSun" w:eastAsia="SimSun" w:cs="SimSun"/>
          <w:color w:val="000000"/>
          <w:sz w:val="24"/>
          <w:u w:val="single"/>
        </w:rPr>
        <w:t xml:space="preserve">杜绝伤亡事故，事故率0。按建设部现行的《建设工程安全生产管理条例》有关规定、《苏州市建筑施工安全监督管理办法》、《江苏省水利工程文明工地建设管理办法》、《苏州市水利工程文明工地建设管理办法》的有关条款以及招标文件中技术准和要求规定执行，由承包人负责管理，监理和发包人负责监督执行，安全事故由责任方承担一切后果。若补充条款中与该管理办法不一致，从严执行。</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6.1.2 关于治安保卫的特别约定：</w:t>
      </w:r>
      <w:r>
        <w:rPr>
          <w:rFonts w:ascii="SimSun" w:hAnsi="SimSun" w:eastAsia="SimSun" w:cs="SimSun"/>
          <w:color w:val="000000"/>
          <w:sz w:val="24"/>
          <w:u w:val="single"/>
        </w:rPr>
        <w:t xml:space="preserve">承包方统一组织编写治安管理计划和突发事件紧急预案。按建设工程安全施工规范、苏州市颁布的有关安全及施工保护规定执行。为了保护本合同工程免遭损坏，保证周边交通畅通、安全，协助疏导交通，在施工区域、或当监理程师或有关主管部门要求时，承包人应自费提供照明、警卫、护栅、警告标志等照明、安全、防护设施。本工程不得发生安全事故 ，若发生安全事故，则视为违约，承包人按现行有关规定接受处理，发包人对工程事故不负任何责任。</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关于编制施工场地治安管理计划的约定：</w:t>
      </w:r>
      <w:r>
        <w:rPr>
          <w:rFonts w:ascii="SimSun" w:hAnsi="SimSun" w:eastAsia="SimSun" w:cs="SimSun"/>
          <w:color w:val="000000"/>
          <w:sz w:val="24"/>
          <w:u w:val="single"/>
        </w:rPr>
        <w:t xml:space="preserve">承包人需在开工前编制施工场地治安管理计划，并报监理和发包人审核，审核通过后才可开工。</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6.1.3文明施工</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合同当事人对文明施工的要求：</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6.1.3.1承包人应严格按照《苏州市改善空气质量强制污染减排强化工作方案》等要求做好防治扬尘等环境保护措施。施工后做到完工场清，保证施工现场符合达到相关标准。需承包人办理的有关施工场地交通、环卫和施工噪音管理等手续：承包人按苏州市相关规定负责办理有关施工场地交通、环卫和施工噪音管理等手续，所发生的费用由承包人承担。如未及时办理相关手续造成的损失及处罚（含发包人）由承包人承担。承包人未按当地安全文明施工规范要求施工，则发包人有权要求承包人承担相应的违约责任，违约金按形成危害或潜在危害程度，以每次1000-5</w:t>
      </w:r>
      <w:r>
        <w:rPr>
          <w:rFonts w:ascii="SimSun" w:hAnsi="SimSun" w:eastAsia="SimSun" w:cs="SimSun"/>
          <w:color w:val="000000"/>
          <w:sz w:val="24"/>
          <w:u w:val="single"/>
        </w:rPr>
        <w:t xml:space="preserve">0000元的标准从工程款中扣除。造成发包人直接损失的，除上述违约金外，还须赔偿发包人有关损失。</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6.1.3.2承包人应严格按照《苏州市水利工程文明工地建设管理办法》、《苏州工业园区建设工程现场管理实施细则》和《苏州工业园区建设工程施工渣土运输管理暂行规定》要求安全文明施工。</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承包人还应满足下列要求：</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 标志标牌设置：施工告示标牌及施工标志、交通警示指引标志等规格统一，设置在各交叉路口，并设置有关安全文明施工的其他标牌、横幅标语和彩旗等。承包人必须加强现场标志、标牌管理和保护，如发生偷盗或损坏及发生交通安全纠纷的，均由承包人负责承担。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道路保洁和养护：承包人须负责施工区域的保洁工作，包括施工期间地面保洁及其日常养护工作，所发生费用包含在合同总价中。材料必须堆放整齐，禁止堆放在施工区域外。施工出入口要保持清洁，现场设专职清扫保洁人员及时进行清扫，保洁人员必须身穿专用反光服装；车辆出入和在运输途中，要防止砂石料、砼、垃圾和工程渣土飞扬、洒落或者流溢。如因保洁或养护不到位招致投诉，发包人除要求承包人及时整改处理外，发包人有权向承包人收取违约金2000元/次。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 施工弃土、建筑垃圾处理：弃土、建筑垃圾必须由承包人运出施工现场，严禁任意丢弃。如有发现，发包人有权向承包人收取违约金2000元/次。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 雨污水管维护：工程施工期间，需保持工程范围内雨污水管通畅，施工期间雨污水管道的养护疏通费用包含在合同总价中，严禁发生雨污水管道堵塞、溢流的现象，否则发包人有权向承包人收取违约金2000元/次。工程竣工时，相关单位将做一次全面检查，不合格者发包人将拒绝竣工验收。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文明卫生：必须保护施工区域内外环境，施工人员穿着和行为要文明。在现场要设置定点的垃圾桶，每天生活垃圾必须及时清理外运，严禁堆放现场或在其他地方任意丢弃。承包人应当加强对现场施工人员的管理，教育施工人员讲求职业道德，自觉遵守《市民安全文明守则》及《治安管理条例》，杜绝违法违纪，并不得有赤膊，穿短裤、打群架、随地大小便等不文明行为的发生。如由于施工现场文明卫生差招致投诉的，发包人有权向承包人收取违约金2000元/次。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扬尘和噪声控制：承包人应根据相关要求，做好扬尘防治工作，费用包含在安全文明施工费仲，如未达到要求的，发包人有权委托第三方实施，费用从工程款中扣除。承包人应加强施工区域(包括临时道路)洒水等降尘措施；如因降尘、防噪措施不到位招致沿线单位投诉，发包人除要求承包人及时采取措施外，有权向承包人收取违约金2000元/次。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 临建设施：工地现场搭设办公临建设施要与施工区域分开设置，彩钢板房所使用的材料必须满足国家及消防部门的有关规定。围墙应采用坚固、安全、整洁、美观的双层夹心彩钢板或砌体围墙，并符合地方行政主管部门及建设单位的要求（如砌体围墙内外侧均应粉刷及涂料），设置宣传及公益广告，费用包含在临时设施费用。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承包人需按苏州市有关规定以及有关职能部门要求办理有关施工场地交通、环卫和施工噪音管理等手续。在相城区举行重大活动时，根据发包人要求，需积极做好道路保洁、交通畅通、施工噪音等方面的临时突击工作，费用由承包人承担。</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6.1.4 关于安全文明施工费支付比例和支付期限的约定：</w:t>
      </w:r>
      <w:r>
        <w:rPr>
          <w:rFonts w:ascii="SimSun" w:hAnsi="SimSun" w:eastAsia="SimSun" w:cs="SimSun"/>
          <w:color w:val="000000"/>
          <w:sz w:val="24"/>
          <w:u w:val="single"/>
        </w:rPr>
        <w:t xml:space="preserve">纳入合同价格支付。</w:t>
      </w:r>
      <w:r/>
    </w:p>
    <w:p>
      <w:pPr>
        <w:ind w:left="0" w:right="0" w:firstLine="0"/>
        <w:jc w:val="both"/>
        <w:spacing w:before="260" w:after="2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工期和进度</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施工组织设计</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 合同当事人约定的施工组织设计应包括的其他内容：</w:t>
      </w:r>
      <w:r>
        <w:rPr>
          <w:rFonts w:ascii="SimSun" w:hAnsi="SimSun" w:eastAsia="SimSun" w:cs="SimSun"/>
          <w:color w:val="000000"/>
          <w:sz w:val="24"/>
          <w:u w:val="single"/>
        </w:rPr>
        <w:t xml:space="preserve">按现行相关文件规定执行</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 施工组织设计的提交和修改</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承包人提交详细施工组织设计的期限的约定：</w:t>
      </w:r>
      <w:r>
        <w:rPr>
          <w:rFonts w:ascii="SimSun" w:hAnsi="SimSun" w:eastAsia="SimSun" w:cs="SimSun"/>
          <w:color w:val="000000"/>
          <w:sz w:val="24"/>
          <w:u w:val="single"/>
        </w:rPr>
        <w:t xml:space="preserve">以建设单位要求为准。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发包人和监理人在收到详细的施工组织设计后确认或提出修改意见的期限：</w:t>
      </w:r>
      <w:r>
        <w:rPr>
          <w:rFonts w:ascii="SimSun" w:hAnsi="SimSun" w:eastAsia="SimSun" w:cs="SimSun"/>
          <w:color w:val="000000"/>
          <w:sz w:val="24"/>
          <w:u w:val="single"/>
        </w:rPr>
        <w:t xml:space="preserve">收到后 5天内。</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施工进度计划</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7.2.1 施工进度计划的修订</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发包人和监理人在收到修订的施工进度计划后确认或提出修改意见的期限：</w:t>
      </w:r>
      <w:r>
        <w:rPr>
          <w:rFonts w:ascii="SimSun" w:hAnsi="SimSun" w:eastAsia="SimSun" w:cs="SimSun"/>
          <w:color w:val="000000"/>
          <w:sz w:val="24"/>
          <w:u w:val="single"/>
        </w:rPr>
        <w:t xml:space="preserve">收到后 5天内。</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开工</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7.3.1 开工准备</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关于承包人提交工程开工报审表的期限：</w:t>
      </w:r>
      <w:r>
        <w:rPr>
          <w:rFonts w:ascii="SimSun" w:hAnsi="SimSun" w:eastAsia="SimSun" w:cs="SimSun"/>
          <w:color w:val="000000"/>
          <w:sz w:val="24"/>
          <w:u w:val="single"/>
        </w:rPr>
        <w:t xml:space="preserve">正式开工前一周</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关于发包人应完成的其他开工准备工作及期限：</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关于承包人应完成的其他开工准备工作及期限：</w:t>
      </w:r>
      <w:r>
        <w:rPr>
          <w:rFonts w:ascii="SimSun" w:hAnsi="SimSun" w:eastAsia="SimSun" w:cs="SimSun"/>
          <w:color w:val="000000"/>
          <w:sz w:val="24"/>
          <w:u w:val="single"/>
        </w:rPr>
        <w:t xml:space="preserve">承包人应在合同签订后5个工作日内完成施工合同网上备案工作，并取得主管部门签署的施工合同备案表，如不能按期备案，给建设单位造成工期延误的，需每天支付发包人合同价万分之五的违约金。</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7.3.2开工通知</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因发包人原因造成监理人未能在计划开工日期之日起</w:t>
      </w:r>
      <w:r>
        <w:rPr>
          <w:rFonts w:ascii="SimSun" w:hAnsi="SimSun" w:eastAsia="SimSun" w:cs="SimSun"/>
          <w:color w:val="000000"/>
          <w:sz w:val="24"/>
          <w:u w:val="single"/>
        </w:rPr>
        <w:t xml:space="preserve"> 30 </w:t>
      </w:r>
      <w:r>
        <w:rPr>
          <w:rFonts w:ascii="SimSun" w:hAnsi="SimSun" w:eastAsia="SimSun" w:cs="SimSun"/>
          <w:color w:val="000000"/>
          <w:sz w:val="24"/>
        </w:rPr>
        <w:t xml:space="preserve">天内发出开工通知的，承包人有权提出价格调整要求，或者解除合同。</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测量放线</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7.4.1发包人通过监理人向承包人提供测量基准点、基准线和水准点及其书面资料的期限：</w:t>
      </w:r>
      <w:r>
        <w:rPr>
          <w:rFonts w:ascii="SimSun" w:hAnsi="SimSun" w:eastAsia="SimSun" w:cs="SimSun"/>
          <w:color w:val="000000"/>
          <w:sz w:val="24"/>
          <w:u w:val="single"/>
        </w:rPr>
        <w:t xml:space="preserve">正式开工前7天。</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 工期延误</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7.5.1 因发包人原因导致工期延误</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（7）因发包人原因导致工期延误的其他情形：</w:t>
      </w:r>
      <w:r>
        <w:rPr>
          <w:rFonts w:ascii="SimSun" w:hAnsi="SimSun" w:eastAsia="SimSun" w:cs="SimSun"/>
          <w:color w:val="000000"/>
          <w:sz w:val="24"/>
          <w:u w:val="single"/>
        </w:rPr>
        <w:t xml:space="preserve">双方协商 </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7.5.2 因承包人原因导致工期延误</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因承包人原因造成工期延误，逾期竣工违约金的计算方法为：</w:t>
      </w:r>
      <w:r>
        <w:rPr>
          <w:rFonts w:ascii="SimSun" w:hAnsi="SimSun" w:eastAsia="SimSun" w:cs="SimSun"/>
          <w:color w:val="000000"/>
          <w:sz w:val="24"/>
          <w:u w:val="single"/>
        </w:rPr>
        <w:t xml:space="preserve">因承包方原因引起的工期延误，应扣除报价中的赶工措施费，并按每延误一天处以合同总价的万分之五的违约金</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因承包人原因造成工期延误，逾期竣工违约金的上限：</w:t>
      </w:r>
      <w:r>
        <w:rPr>
          <w:rFonts w:ascii="SimSun" w:hAnsi="SimSun" w:eastAsia="SimSun" w:cs="SimSun"/>
          <w:color w:val="000000"/>
          <w:sz w:val="24"/>
          <w:u w:val="single"/>
        </w:rPr>
        <w:t xml:space="preserve">不封顶</w:t>
      </w:r>
      <w:r>
        <w:rPr>
          <w:rFonts w:ascii="SimSun" w:hAnsi="SimSun" w:eastAsia="SimSun" w:cs="SimSun"/>
          <w:color w:val="000000"/>
          <w:sz w:val="24"/>
        </w:rPr>
        <w:t xml:space="preserve">。</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 不利物质条件</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不利物质条件的其他情形和有关约定：</w:t>
      </w:r>
      <w:r>
        <w:rPr>
          <w:rFonts w:ascii="SimSun" w:hAnsi="SimSun" w:eastAsia="SimSun" w:cs="SimSun"/>
          <w:color w:val="000000"/>
          <w:sz w:val="24"/>
          <w:u w:val="single"/>
        </w:rPr>
        <w:t xml:space="preserve">双方协商</w:t>
      </w:r>
      <w:r>
        <w:rPr>
          <w:rFonts w:ascii="SimSun" w:hAnsi="SimSun" w:eastAsia="SimSun" w:cs="SimSun"/>
          <w:color w:val="000000"/>
          <w:sz w:val="24"/>
        </w:rPr>
        <w:t xml:space="preserve">。</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7.7异常恶劣的气候条件</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发包人和承包人同意以下情形视为异常恶劣的气候条件：</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（1）建设主管部门出具的书面确认函；</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（2）按国家相关规定；</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（3）_</w:t>
      </w:r>
      <w:r>
        <w:rPr>
          <w:rFonts w:ascii="SimSun" w:hAnsi="SimSun" w:eastAsia="SimSun" w:cs="SimSun"/>
          <w:color w:val="000000"/>
          <w:sz w:val="24"/>
          <w:u w:val="single"/>
        </w:rPr>
        <w:t xml:space="preserve">地震、暴风雨雪及不可抗力情况</w:t>
      </w:r>
      <w:r>
        <w:rPr>
          <w:rFonts w:ascii="SimSun" w:hAnsi="SimSun" w:eastAsia="SimSun" w:cs="SimSun"/>
          <w:color w:val="000000"/>
          <w:sz w:val="24"/>
        </w:rPr>
        <w:t xml:space="preserve">_。</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（4）_</w:t>
      </w:r>
      <w:r>
        <w:rPr>
          <w:rFonts w:ascii="SimSun" w:hAnsi="SimSun" w:eastAsia="SimSun" w:cs="SimSun"/>
          <w:color w:val="000000"/>
          <w:sz w:val="24"/>
          <w:u w:val="single"/>
        </w:rPr>
        <w:t xml:space="preserve">双方另行协商</w:t>
      </w:r>
      <w:r>
        <w:rPr>
          <w:rFonts w:ascii="SimSun" w:hAnsi="SimSun" w:eastAsia="SimSun" w:cs="SimSun"/>
          <w:color w:val="000000"/>
          <w:sz w:val="24"/>
        </w:rPr>
        <w:t xml:space="preserve">_。</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7.8 提前竣工的奖励</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7.8.1提前竣工的奖励：</w:t>
      </w:r>
      <w:r>
        <w:rPr>
          <w:rFonts w:ascii="SimSun" w:hAnsi="SimSun" w:eastAsia="SimSun" w:cs="SimSun"/>
          <w:color w:val="000000"/>
          <w:sz w:val="24"/>
          <w:u w:val="single"/>
        </w:rPr>
        <w:t xml:space="preserve">提前竣工无奖励</w:t>
      </w:r>
      <w:r>
        <w:rPr>
          <w:rFonts w:ascii="SimSun" w:hAnsi="SimSun" w:eastAsia="SimSun" w:cs="SimSun"/>
          <w:color w:val="000000"/>
          <w:sz w:val="24"/>
        </w:rPr>
        <w:t xml:space="preserve">。</w:t>
      </w:r>
      <w:r/>
    </w:p>
    <w:p>
      <w:pPr>
        <w:ind w:left="0" w:right="0" w:firstLine="0"/>
        <w:jc w:val="both"/>
        <w:spacing w:before="260" w:after="2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材料与设备</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8.1材料与工程设备的保管与使用</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8.1.1发包人供应的材料设备的保管费用的承担：</w:t>
      </w:r>
      <w:r>
        <w:rPr>
          <w:rFonts w:ascii="SimSun" w:hAnsi="SimSun" w:eastAsia="SimSun" w:cs="SimSun"/>
          <w:color w:val="000000"/>
          <w:sz w:val="24"/>
          <w:u w:val="single"/>
        </w:rPr>
        <w:t xml:space="preserve">承包人应做好成品保护工作，对原材料、半成品、工序产品以及已完成的分部分项产品进行有效的保护，否则一旦造成损坏，将会增加修复工作，带来工、料浪费、工期拖延及经济损失的，由承包人承担</w:t>
      </w:r>
      <w:r>
        <w:rPr>
          <w:rFonts w:ascii="SimSun" w:hAnsi="SimSun" w:eastAsia="SimSun" w:cs="SimSun"/>
          <w:color w:val="000000"/>
          <w:sz w:val="24"/>
        </w:rPr>
        <w:t xml:space="preserve">。</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8.2样品</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8.2.1样品的报送与封存</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需要承包人报送样品的材料或工程设备，样品的种类、名称、规格、数量要求：</w:t>
      </w:r>
      <w:r>
        <w:rPr>
          <w:rFonts w:ascii="SimSun" w:hAnsi="SimSun" w:eastAsia="SimSun" w:cs="SimSun"/>
          <w:color w:val="000000"/>
          <w:sz w:val="24"/>
          <w:u w:val="single"/>
        </w:rPr>
        <w:t xml:space="preserve">本工程材料出样要求：承包人必须在出样通过的情况下（本工程所用材料均需提前经甲方、监理认可后），才能进场施工。否则，由此产生的一切后果及发生的费用均由承包人承担</w:t>
      </w:r>
      <w:r>
        <w:rPr>
          <w:rFonts w:ascii="SimSun" w:hAnsi="SimSun" w:eastAsia="SimSun" w:cs="SimSun"/>
          <w:color w:val="000000"/>
          <w:sz w:val="24"/>
        </w:rPr>
        <w:t xml:space="preserve">。</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施工设备和临时设施</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8.3.1 承包人提供的施工设备和临时设施</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关于修建临时设施费用承担的约定：</w:t>
      </w:r>
      <w:r>
        <w:rPr>
          <w:rFonts w:ascii="SimSun" w:hAnsi="SimSun" w:eastAsia="SimSun" w:cs="SimSun"/>
          <w:color w:val="000000"/>
          <w:sz w:val="24"/>
          <w:u w:val="single"/>
        </w:rPr>
        <w:t xml:space="preserve"> 相关费用由承包人承担</w:t>
      </w:r>
      <w:r>
        <w:rPr>
          <w:rFonts w:ascii="SimSun" w:hAnsi="SimSun" w:eastAsia="SimSun" w:cs="SimSun"/>
          <w:color w:val="000000"/>
          <w:sz w:val="24"/>
        </w:rPr>
        <w:t xml:space="preserve">。</w:t>
      </w:r>
      <w:r/>
    </w:p>
    <w:p>
      <w:pPr>
        <w:ind w:left="0" w:right="0" w:firstLine="0"/>
        <w:jc w:val="both"/>
        <w:spacing w:before="260" w:after="2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 试验与检验</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9.1试验设备与试验人员</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9.1.1 试验设备</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施工现场需要配置的试验场所：</w:t>
      </w:r>
      <w:r>
        <w:rPr>
          <w:rFonts w:ascii="SimSun" w:hAnsi="SimSun" w:eastAsia="SimSun" w:cs="SimSun"/>
          <w:color w:val="000000"/>
          <w:sz w:val="24"/>
          <w:u w:val="single"/>
        </w:rPr>
        <w:t xml:space="preserve">按规定在施工现场设置包括但不限于砼、砂浆试块标准养护室等试验场所</w:t>
      </w: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施工现场需要配备的试验设备：</w:t>
      </w:r>
      <w:r>
        <w:rPr>
          <w:rFonts w:ascii="SimSun" w:hAnsi="SimSun" w:eastAsia="SimSun" w:cs="SimSun"/>
          <w:color w:val="000000"/>
          <w:sz w:val="24"/>
          <w:u w:val="single"/>
        </w:rPr>
        <w:t xml:space="preserve">包括但不限于砼试模、砂浆试块试模、坍落度测试仪、砼回弹仪、砂浆回弹仪，试块养护箱等试验设备</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施工现场需要具备的其他试验条件：</w:t>
      </w:r>
      <w:r>
        <w:rPr>
          <w:rFonts w:ascii="SimSun" w:hAnsi="SimSun" w:eastAsia="SimSun" w:cs="SimSun"/>
          <w:color w:val="000000"/>
          <w:sz w:val="24"/>
          <w:u w:val="single"/>
        </w:rPr>
        <w:t xml:space="preserve">现行规范、标准要求的需要进行现场试验所需的条件</w:t>
      </w:r>
      <w:r>
        <w:rPr>
          <w:rFonts w:ascii="SimSun" w:hAnsi="SimSun" w:eastAsia="SimSun" w:cs="SimSun"/>
          <w:color w:val="000000"/>
          <w:sz w:val="24"/>
        </w:rPr>
        <w:t xml:space="preserve">。</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9.2现场工艺试验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现场工艺试验的有关约定：</w:t>
      </w:r>
      <w:r>
        <w:rPr>
          <w:rFonts w:ascii="SimSun" w:hAnsi="SimSun" w:eastAsia="SimSun" w:cs="SimSun"/>
          <w:color w:val="000000"/>
          <w:sz w:val="24"/>
          <w:u w:val="single"/>
        </w:rPr>
        <w:t xml:space="preserve">按现行相关文件规定执行</w:t>
      </w:r>
      <w:r>
        <w:rPr>
          <w:rFonts w:ascii="SimSun" w:hAnsi="SimSun" w:eastAsia="SimSun" w:cs="SimSun"/>
          <w:color w:val="000000"/>
          <w:sz w:val="24"/>
        </w:rPr>
        <w:t xml:space="preserve">。</w:t>
      </w:r>
      <w:r/>
    </w:p>
    <w:p>
      <w:pPr>
        <w:ind w:left="0" w:right="0" w:firstLine="0"/>
        <w:jc w:val="both"/>
        <w:spacing w:before="260" w:after="2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 变更</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10.1变更的范围</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关于变更的范围的约定：</w:t>
      </w:r>
      <w:r>
        <w:rPr>
          <w:rFonts w:ascii="SimSun" w:hAnsi="SimSun" w:eastAsia="SimSun" w:cs="SimSun"/>
          <w:color w:val="000000"/>
          <w:sz w:val="24"/>
          <w:u w:val="none"/>
        </w:rPr>
        <w:t xml:space="preserve">工程的设计变更由发包人提前通知监理、承包人，承包人应执行变更，工程变更、签证应先进行费用审批后实施。发生变更、施工条件变化等，要由监理工程师、发包人等相关人员同时确认方为有效；由于设计变更、现场签证等引起的新工程量清单项目，其综合单价，合同中有单价的照合同单价计量，合同中无单价的按现行国家清单规范、苏州市建设局指导价计算单价并按中标下浮率（详见12.1）下浮。本合同价款采用采用固定单价合同，除现行相关文件约定合同价款的调整因素外，合同价款不调整。 承包人应充分考虑工程建设周期内市场价格等因素的波动风险，风险</w:t>
      </w:r>
      <w:r>
        <w:rPr>
          <w:rFonts w:ascii="SimSun" w:hAnsi="SimSun" w:eastAsia="SimSun" w:cs="SimSun"/>
          <w:color w:val="000000"/>
          <w:sz w:val="24"/>
          <w:u w:val="none"/>
        </w:rPr>
        <w:t xml:space="preserve">费用由投标人自主报价。本工程标底中不计取风险费用</w:t>
      </w:r>
      <w:r>
        <w:rPr>
          <w:rFonts w:ascii="SimSun" w:hAnsi="SimSun" w:eastAsia="SimSun" w:cs="SimSun"/>
          <w:color w:val="000000"/>
          <w:sz w:val="24"/>
        </w:rPr>
        <w:t xml:space="preserve">。</w:t>
      </w:r>
      <w:r/>
    </w:p>
    <w:p>
      <w:pPr>
        <w:ind w:left="0" w:right="0" w:firstLine="47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投资工程有关变更按《苏州市政府投资建设项目工程变更备案管理暂行办法》、《苏州市政府投资建筑工程变更备案管理实施细则》、《苏州工业园区苏相合作区政府投资建设项目管理暂行办法》等项目所在地相关规定执行。</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承包人应及时对招标工程量清单数量与施工图纸的工程数量进行校核，如两者的误差额达到《苏州市政府投资建筑工程变更备案管理实施细则》等项目所在地相关规定的备案起点时，必须在分部分项工程实施前向发包方提出变更费用申请，否则工程结算时对因此造成的造价增加将不予认可。</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程设计变更或发包人签证引起的工程量的增加或减少，对工程量进行调整，调整的价款纳入竣工结算，以最终审计为准。追加费用不得超过原合同金额的10%，原合同金额10%以内的追加费用，限于原合同内工程清单数量调整增加的工程费用，原合同外工程内容不得计入。</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工程变更实行“先确认后施工”的原则，工程变更的签证实行“量价分离”的原则。</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变更估价</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10.2.1 变更估价原则</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关于变更估价的约定:</w:t>
      </w:r>
      <w:r>
        <w:rPr>
          <w:rFonts w:ascii="SimSun" w:hAnsi="SimSun" w:eastAsia="SimSun" w:cs="SimSun"/>
          <w:color w:val="000000"/>
          <w:sz w:val="24"/>
          <w:u w:val="single"/>
        </w:rPr>
        <w:t xml:space="preserve">按现行相关文件规定执行。 因分部分项工程量清单漏项或非承包方原因的工程变更，造成增加新的工程量清单项目，其对应的综合单价按下列方法确定：a)合同中已有适用的综合单价，按合同中已有的综合单价确定；b)合同中有类似的综合单价，参照类似的综合单价确定；c) 合同中没有适用或类似的综合单价，按建设行政主管部门发布的计价办法和计价标准计算后按照中标下浮率进行下浮，为结算综合单价；d)合同中没有适用或类似的综合单价，且无法按计价办法计算的，由承包方提出综合单价，经发包方确认后执行。</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10.3承包人的合理化建议</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监理人审查承包人合理化建议的期限：</w:t>
      </w:r>
      <w:r>
        <w:rPr>
          <w:rFonts w:ascii="SimSun" w:hAnsi="SimSun" w:eastAsia="SimSun" w:cs="SimSun"/>
          <w:color w:val="000000"/>
          <w:sz w:val="24"/>
          <w:u w:val="single"/>
        </w:rPr>
        <w:t xml:space="preserve">承包人提出后3日内</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发包人审批承包人合理化建议的期限：</w:t>
      </w:r>
      <w:r>
        <w:rPr>
          <w:rFonts w:ascii="SimSun" w:hAnsi="SimSun" w:eastAsia="SimSun" w:cs="SimSun"/>
          <w:color w:val="000000"/>
          <w:sz w:val="24"/>
          <w:u w:val="single"/>
        </w:rPr>
        <w:t xml:space="preserve">承包人书面提出，经监理审核后10天内</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承包人提出的合理化建议降低了合同价格或者提高了工程经济效益的奖励的方法和金额为：</w:t>
      </w:r>
      <w:r>
        <w:rPr>
          <w:rFonts w:ascii="SimSun" w:hAnsi="SimSun" w:eastAsia="SimSun" w:cs="SimSun"/>
          <w:color w:val="000000"/>
          <w:sz w:val="24"/>
          <w:u w:val="single"/>
        </w:rPr>
        <w:t xml:space="preserve">无。</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暂估价</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暂估价材料和工程设备的明细详见工程量清单。</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10.4.1 依法必须招标的暂估价项目</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对于依法必须招标的暂估价项目的确认和批准采取第</w:t>
      </w:r>
      <w:r>
        <w:rPr>
          <w:rFonts w:ascii="SimSun" w:hAnsi="SimSun" w:eastAsia="SimSun" w:cs="SimSun"/>
          <w:color w:val="000000"/>
          <w:sz w:val="24"/>
          <w:u w:val="single"/>
        </w:rPr>
        <w:t xml:space="preserve"> /  </w:t>
      </w:r>
      <w:r>
        <w:rPr>
          <w:rFonts w:ascii="SimSun" w:hAnsi="SimSun" w:eastAsia="SimSun" w:cs="SimSun"/>
          <w:color w:val="000000"/>
          <w:sz w:val="24"/>
        </w:rPr>
        <w:t xml:space="preserve">种方式确定。</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10.4.2 不属于依法必须招标的暂估价项目</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对于不属于依法必须招标的暂估价项目的确认和批准采取第</w:t>
      </w:r>
      <w:r>
        <w:rPr>
          <w:rFonts w:ascii="SimSun" w:hAnsi="SimSun" w:eastAsia="SimSun" w:cs="SimSun"/>
          <w:color w:val="000000"/>
          <w:sz w:val="24"/>
          <w:u w:val="single"/>
        </w:rPr>
        <w:t xml:space="preserve"> /  </w:t>
      </w:r>
      <w:r>
        <w:rPr>
          <w:rFonts w:ascii="SimSun" w:hAnsi="SimSun" w:eastAsia="SimSun" w:cs="SimSun"/>
          <w:color w:val="000000"/>
          <w:sz w:val="24"/>
        </w:rPr>
        <w:t xml:space="preserve">种方式确定。</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第3种方式：承包人直接实施的暂估价项目</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承包人直接实施的暂估价项目的约定：</w:t>
      </w:r>
      <w:r>
        <w:rPr>
          <w:rFonts w:ascii="SimSun" w:hAnsi="SimSun" w:eastAsia="SimSun" w:cs="SimSun"/>
          <w:color w:val="000000"/>
          <w:sz w:val="24"/>
          <w:u w:val="single"/>
        </w:rPr>
        <w:t xml:space="preserve">实施前28天报发包人批准后实施</w:t>
      </w:r>
      <w:r>
        <w:rPr>
          <w:rFonts w:ascii="SimSun" w:hAnsi="SimSun" w:eastAsia="SimSun" w:cs="SimSun"/>
          <w:color w:val="000000"/>
          <w:sz w:val="24"/>
        </w:rPr>
        <w:t xml:space="preserve">。</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 暂列金额</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合同当事人关于暂列金额使用的约定：</w:t>
      </w:r>
      <w:r>
        <w:rPr>
          <w:rFonts w:ascii="SimSun" w:hAnsi="SimSun" w:eastAsia="SimSun" w:cs="SimSun"/>
          <w:color w:val="000000"/>
          <w:sz w:val="24"/>
          <w:u w:val="single"/>
        </w:rPr>
        <w:t xml:space="preserve">暂列金是招标人自行确定设立的，承包人无权使用此费用，此费用按实际发生经招标人签证后确定是否使用</w:t>
      </w:r>
      <w:r>
        <w:rPr>
          <w:rFonts w:ascii="SimSun" w:hAnsi="SimSun" w:eastAsia="SimSun" w:cs="SimSun"/>
          <w:color w:val="000000"/>
          <w:sz w:val="24"/>
        </w:rPr>
        <w:t xml:space="preserve">。</w:t>
      </w:r>
      <w:r/>
    </w:p>
    <w:p>
      <w:pPr>
        <w:ind w:left="0" w:right="0" w:firstLine="0"/>
        <w:jc w:val="both"/>
        <w:spacing w:before="260" w:after="2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 价格调整</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市场价格波动引起的调整</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市场价格波动是否调整合同价格的约定：</w:t>
      </w:r>
      <w:r>
        <w:rPr>
          <w:rFonts w:ascii="SimSun" w:hAnsi="SimSun" w:eastAsia="SimSun" w:cs="SimSun"/>
          <w:color w:val="000000"/>
          <w:sz w:val="24"/>
          <w:u w:val="single"/>
        </w:rPr>
        <w:t xml:space="preserve">不调整</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因市场价格波动调整合同价格，采用以下第</w:t>
      </w:r>
      <w:r>
        <w:rPr>
          <w:rFonts w:ascii="SimSun" w:hAnsi="SimSun" w:eastAsia="SimSun" w:cs="SimSun"/>
          <w:color w:val="000000"/>
          <w:sz w:val="24"/>
          <w:u w:val="single"/>
        </w:rPr>
        <w:t xml:space="preserve">  </w:t>
      </w:r>
      <w:r>
        <w:rPr>
          <w:rFonts w:ascii="SimSun" w:hAnsi="SimSun" w:eastAsia="SimSun" w:cs="SimSun"/>
          <w:color w:val="000000"/>
          <w:sz w:val="24"/>
        </w:rPr>
        <w:t xml:space="preserve">种方式对合同价格进行调整：</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第1种方式：采用价格指数进行价格调整。</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关于各可调因子、定值和变值权重，以及基本价格指数及其来源的约定：</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第2种方式：采用造价信息进行价格调整。</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（2）关于基准价格的约定：。</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专用合同条款①承包人在已标价工程量清单或预算书中载明的材料单价低于基准价格的：专用合同条款合同履行期间材料单价涨幅以基准价格为基础超过</w:t>
      </w:r>
      <w:r>
        <w:rPr>
          <w:rFonts w:ascii="SimSun" w:hAnsi="SimSun" w:eastAsia="SimSun" w:cs="SimSun"/>
          <w:color w:val="000000"/>
          <w:sz w:val="24"/>
          <w:u w:val="single"/>
        </w:rPr>
        <w:t xml:space="preserve">5</w:t>
      </w:r>
      <w:r>
        <w:rPr>
          <w:rFonts w:ascii="SimSun" w:hAnsi="SimSun" w:eastAsia="SimSun" w:cs="SimSun"/>
          <w:color w:val="000000"/>
          <w:sz w:val="24"/>
        </w:rPr>
        <w:t xml:space="preserve">%时，或材料单价跌幅以已标价工程量清单或预算书中载明材料单价为基础超过</w:t>
      </w:r>
      <w:r>
        <w:rPr>
          <w:rFonts w:ascii="SimSun" w:hAnsi="SimSun" w:eastAsia="SimSun" w:cs="SimSun"/>
          <w:color w:val="000000"/>
          <w:sz w:val="24"/>
          <w:u w:val="single"/>
        </w:rPr>
        <w:t xml:space="preserve">5%</w:t>
      </w:r>
      <w:r>
        <w:rPr>
          <w:rFonts w:ascii="SimSun" w:hAnsi="SimSun" w:eastAsia="SimSun" w:cs="SimSun"/>
          <w:color w:val="000000"/>
          <w:sz w:val="24"/>
        </w:rPr>
        <w:t xml:space="preserve">时，其超过部分据实调整。</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②承包人在已标价工程量清单或预算书中载明的材料单价高于基准价格的：专用合同条款合同履行期间材料单价跌幅以基准价格为基础超过</w:t>
      </w:r>
      <w:r>
        <w:rPr>
          <w:rFonts w:ascii="SimSun" w:hAnsi="SimSun" w:eastAsia="SimSun" w:cs="SimSun"/>
          <w:color w:val="000000"/>
          <w:sz w:val="24"/>
          <w:u w:val="single"/>
        </w:rPr>
        <w:t xml:space="preserve">5%</w:t>
      </w:r>
      <w:r>
        <w:rPr>
          <w:rFonts w:ascii="SimSun" w:hAnsi="SimSun" w:eastAsia="SimSun" w:cs="SimSun"/>
          <w:color w:val="000000"/>
          <w:sz w:val="24"/>
        </w:rPr>
        <w:t xml:space="preserve">时，材料单价涨幅以已标价工程量清单或预算书中载明材料单价为基础超过</w:t>
      </w:r>
      <w:r>
        <w:rPr>
          <w:rFonts w:ascii="SimSun" w:hAnsi="SimSun" w:eastAsia="SimSun" w:cs="SimSun"/>
          <w:color w:val="000000"/>
          <w:sz w:val="24"/>
          <w:u w:val="single"/>
        </w:rPr>
        <w:t xml:space="preserve">5%</w:t>
      </w:r>
      <w:r>
        <w:rPr>
          <w:rFonts w:ascii="SimSun" w:hAnsi="SimSun" w:eastAsia="SimSun" w:cs="SimSun"/>
          <w:color w:val="000000"/>
          <w:sz w:val="24"/>
        </w:rPr>
        <w:t xml:space="preserve">时，其超过部分据实调整。</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③承包人在已标价工程量清单或预算书中载明的材料单价等于基准单价的：专用合同条款合同履行期间材料单价涨跌幅以基准单价为基础超过</w:t>
      </w:r>
      <w:r>
        <w:rPr>
          <w:rFonts w:ascii="SimSun" w:hAnsi="SimSun" w:eastAsia="SimSun" w:cs="SimSun"/>
          <w:color w:val="000000"/>
          <w:sz w:val="24"/>
          <w:u w:val="single"/>
        </w:rPr>
        <w:t xml:space="preserve">±5%</w:t>
      </w:r>
      <w:r>
        <w:rPr>
          <w:rFonts w:ascii="SimSun" w:hAnsi="SimSun" w:eastAsia="SimSun" w:cs="SimSun"/>
          <w:color w:val="000000"/>
          <w:sz w:val="24"/>
        </w:rPr>
        <w:t xml:space="preserve">时，其超过部分据实调整。</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第3种方式：其他价格调整方式：</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0"/>
        <w:jc w:val="both"/>
        <w:spacing w:before="260" w:after="2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 合同价格、计量与支付</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合同价格形式</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1、单价合同。</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综合单价包含的风险范围：</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按现行相关文件规定执行</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风险费用的计算方法：</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本工程标底中不计取风险费用</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风险范围以外合同价格的调整方法：</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预付款</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 预付款的支付</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预付款支付比例或金额：</w:t>
      </w:r>
      <w:r>
        <w:rPr>
          <w:rFonts w:ascii="SimSun" w:hAnsi="SimSun" w:eastAsia="SimSun" w:cs="SimSun"/>
          <w:color w:val="000000"/>
          <w:sz w:val="24"/>
          <w:u w:val="none"/>
        </w:rPr>
        <w:t xml:space="preserve">合同金额的10%。</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预付款支付期限：自合同签订后30个工作日内。</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在签订合同时，乙方明确表示无需预付款或者主动要求降低相应付款节点比例的，甲方可不适用上述关于付款的规定。</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预付款扣回的方式：。</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12.2.2 预付款担保</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承包人提交预付款担保的期限：。</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预付款担保的形式为：。</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计量</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12.3.1 计量原则</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工程量计算规则：</w:t>
      </w:r>
      <w:r>
        <w:rPr>
          <w:rFonts w:ascii="SimSun" w:hAnsi="SimSun" w:eastAsia="SimSun" w:cs="SimSun"/>
          <w:color w:val="000000"/>
          <w:sz w:val="24"/>
          <w:u w:val="single"/>
        </w:rPr>
        <w:t xml:space="preserve">按招标工程量清单采用的计算规则执行，以现场实际发生的已完合格工程量计量。</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12.3.2 计量周期</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关于计量周期的约定：</w:t>
      </w:r>
      <w:r>
        <w:rPr>
          <w:rFonts w:ascii="SimSun" w:hAnsi="SimSun" w:eastAsia="SimSun" w:cs="SimSun"/>
          <w:color w:val="000000"/>
          <w:sz w:val="24"/>
          <w:u w:val="single"/>
        </w:rPr>
        <w:t xml:space="preserve">每月日计量</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12.3.3 单价合同的计量</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关于单价合同计量的约定：</w:t>
      </w:r>
      <w:r>
        <w:rPr>
          <w:rFonts w:ascii="SimSun" w:hAnsi="SimSun" w:eastAsia="SimSun" w:cs="SimSun"/>
          <w:color w:val="000000"/>
          <w:sz w:val="24"/>
          <w:u w:val="single"/>
        </w:rPr>
        <w:t xml:space="preserve">按现场实际发生的已完合格工程量计算。</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12.3.4 总价合同的计量</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关于总价合同计量的约定：</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12.3.5总价合同采用支付分解表计量支付的，是否适用第12.3.4 项〔总价合同的计量〕约定进行计量：</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12.3.6 其他价格形式合同的计量</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其他价格形式的计量方式和程序：</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工程进度款支付</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12.4.1 付款周期</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关于付款周期的约定：</w:t>
      </w:r>
      <w:r>
        <w:rPr>
          <w:rFonts w:ascii="SimSun" w:hAnsi="SimSun" w:eastAsia="SimSun" w:cs="SimSun"/>
          <w:b/>
          <w:color w:val="000000"/>
          <w:sz w:val="24"/>
          <w:u w:val="single"/>
        </w:rPr>
        <w:t xml:space="preserve">按相关文件执行。</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yellow"/>
          <w:u w:val="single"/>
        </w:rPr>
        <w:t xml:space="preserve">付款步骤：项目开工后进度款按实际完成工程量计付，最高付至合同价的40%；工程验收后审计前最高付至合同价（实际完成工程量）的50%，审计结束后最高付至审计价的70%，余款在3年内付清；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12.4.2 进度付款申请单的编制</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关于进度付款申请单编制的约定：</w:t>
      </w:r>
      <w:r>
        <w:rPr>
          <w:rFonts w:ascii="SimSun" w:hAnsi="SimSun" w:eastAsia="SimSun" w:cs="SimSun"/>
          <w:color w:val="000000"/>
          <w:sz w:val="24"/>
          <w:u w:val="single"/>
        </w:rPr>
        <w:t xml:space="preserve">按项目所在地相关规定执行。</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12.4.3 进度付款申请单的提交</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（1）单价合同进度付款申请单提交的约定：</w:t>
      </w:r>
      <w:r>
        <w:rPr>
          <w:rFonts w:ascii="SimSun" w:hAnsi="SimSun" w:eastAsia="SimSun" w:cs="SimSun"/>
          <w:color w:val="000000"/>
          <w:sz w:val="24"/>
          <w:u w:val="single"/>
        </w:rPr>
        <w:t xml:space="preserve">按项目所在地相关规定执行</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（2）总价合同进度付款申请单提交的约定：</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（3）其他价格形式合同进度付款申请单提交的约定：</w:t>
      </w:r>
      <w:r>
        <w:rPr>
          <w:rFonts w:ascii="SimSun" w:hAnsi="SimSun" w:eastAsia="SimSun" w:cs="SimSun"/>
          <w:color w:val="000000"/>
          <w:sz w:val="24"/>
          <w:u w:val="single"/>
        </w:rPr>
        <w:t xml:space="preserve">按项目所在地相关规定执行。</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12.4.4 进度款审核和支付</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（1）监理人审查并报送发包人的期限：</w:t>
      </w:r>
      <w:r>
        <w:rPr>
          <w:rFonts w:ascii="SimSun" w:hAnsi="SimSun" w:eastAsia="SimSun" w:cs="SimSun"/>
          <w:color w:val="000000"/>
          <w:sz w:val="24"/>
          <w:u w:val="single"/>
        </w:rPr>
        <w:t xml:space="preserve">按项目所在地相关规定执行</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发包人完成审批并签发进度款支付证书的期限：</w:t>
      </w:r>
      <w:r>
        <w:rPr>
          <w:rFonts w:ascii="SimSun" w:hAnsi="SimSun" w:eastAsia="SimSun" w:cs="SimSun"/>
          <w:color w:val="000000"/>
          <w:sz w:val="24"/>
          <w:u w:val="single"/>
        </w:rPr>
        <w:t xml:space="preserve">按项目所在地相关规定执行</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（2）发包人支付进度款的期限：</w:t>
      </w:r>
      <w:r>
        <w:rPr>
          <w:rFonts w:ascii="SimSun" w:hAnsi="SimSun" w:eastAsia="SimSun" w:cs="SimSun"/>
          <w:color w:val="000000"/>
          <w:sz w:val="24"/>
          <w:u w:val="single"/>
        </w:rPr>
        <w:t xml:space="preserve">按项目所在地相关规定执行</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发包人逾期支付进度款的违约金的计算方式：</w:t>
      </w:r>
      <w:r>
        <w:rPr>
          <w:rFonts w:ascii="SimSun" w:hAnsi="SimSun" w:eastAsia="SimSun" w:cs="SimSun"/>
          <w:color w:val="000000"/>
          <w:sz w:val="24"/>
          <w:u w:val="single"/>
        </w:rPr>
        <w:t xml:space="preserve">按项目所在地相关规定执行</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12.4.5 支付分解表的编制</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2、总价合同支付分解表的编制与审批：。</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3、单价合同的总价项目支付分解表的编制与审批：</w:t>
      </w:r>
      <w:r>
        <w:rPr>
          <w:rFonts w:ascii="SimSun" w:hAnsi="SimSun" w:eastAsia="SimSun" w:cs="SimSun"/>
          <w:color w:val="000000"/>
          <w:sz w:val="24"/>
          <w:u w:val="single"/>
        </w:rPr>
        <w:t xml:space="preserve">按项目所在地相关规定执行</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12.4.6 支付的其它规定</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施工承包单位必须合理计算月度完成工程量，不得重报、超报、虚报、如有重报、超报、虚报费用超过月支付额的5%。由于施工承包单位的责任造成工程重大质量、安全事故时，本月进度款停付，并按规定处理完事故后方可再行支付。工程竣工备案结束后，施工单位应在3个月内报送结算审计资料，如有延迟，施工单位承担延迟付款的责任。</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6"/>
        </w:rPr>
        <w:t xml:space="preserve">经双方协商一致同意，在本合同签订后，若因乙方办理“园采贷”信用融资的需要，本合同第12.4.2条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w:t>
      </w:r>
      <w:r/>
    </w:p>
    <w:p>
      <w:pPr>
        <w:ind w:left="0" w:right="0" w:firstLine="0"/>
        <w:jc w:val="both"/>
        <w:spacing w:before="260" w:after="2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验收和工程试车</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分部分项工程验收</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13.1.2监理人不能按时进行验收时，应提前</w:t>
      </w:r>
      <w:r>
        <w:rPr>
          <w:rFonts w:ascii="SimSun" w:hAnsi="SimSun" w:eastAsia="SimSun" w:cs="SimSun"/>
          <w:color w:val="000000"/>
          <w:sz w:val="24"/>
          <w:u w:val="single"/>
        </w:rPr>
        <w:t xml:space="preserve">24</w:t>
      </w:r>
      <w:r>
        <w:rPr>
          <w:rFonts w:ascii="SimSun" w:hAnsi="SimSun" w:eastAsia="SimSun" w:cs="SimSun"/>
          <w:color w:val="000000"/>
          <w:sz w:val="24"/>
        </w:rPr>
        <w:t xml:space="preserve">小时提交书面延期要求。</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关于延期最长不得超过：</w:t>
      </w:r>
      <w:r>
        <w:rPr>
          <w:rFonts w:ascii="SimSun" w:hAnsi="SimSun" w:eastAsia="SimSun" w:cs="SimSun"/>
          <w:color w:val="000000"/>
          <w:sz w:val="24"/>
          <w:u w:val="single"/>
        </w:rPr>
        <w:t xml:space="preserve">48</w:t>
      </w:r>
      <w:r>
        <w:rPr>
          <w:rFonts w:ascii="SimSun" w:hAnsi="SimSun" w:eastAsia="SimSun" w:cs="SimSun"/>
          <w:color w:val="000000"/>
          <w:sz w:val="24"/>
        </w:rPr>
        <w:t xml:space="preserve">小时。</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竣工验收</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13.2.1竣工验收程序</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关于竣工验收程序的约定：</w:t>
      </w:r>
      <w:r>
        <w:rPr>
          <w:rFonts w:ascii="SimSun" w:hAnsi="SimSun" w:eastAsia="SimSun" w:cs="SimSun"/>
          <w:color w:val="000000"/>
          <w:sz w:val="24"/>
          <w:u w:val="single"/>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2）监理人审查后认为已具备竣工验收条件的，应将竣工验收申请报告提交发包人，发包人应在收到经监理人审核的竣工验收申请报告后14天内审批完毕并组织监理人、承包人、设计人等相关单位验收，并在验收后14天内给予认可或提出修改意见。承包人按要求修改，并承担由自身</w:t>
      </w:r>
      <w:r>
        <w:rPr>
          <w:rFonts w:ascii="SimSun" w:hAnsi="SimSun" w:eastAsia="SimSun" w:cs="SimSun"/>
          <w:color w:val="000000"/>
          <w:sz w:val="24"/>
          <w:u w:val="single"/>
        </w:rPr>
        <w:t xml:space="preserve">原因造成修改的费用。（3)工程竣工验收通过，承包人送交竣工验收报告的日期为实际竣工日期。工程按发包人要求修改后通过竣工验收的，实际竣工日期为承包人修改后提请发包人验收的日期。（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5)中间交工工程的范围和竣工时间，按发包人要求完成。</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发包人不按照本项约定组织竣工验收、颁发工程接收证书的违约金的计算方法：</w:t>
      </w:r>
      <w:r>
        <w:rPr>
          <w:rFonts w:ascii="SimSun" w:hAnsi="SimSun" w:eastAsia="SimSun" w:cs="SimSun"/>
          <w:color w:val="000000"/>
          <w:sz w:val="24"/>
          <w:u w:val="single"/>
        </w:rPr>
        <w:t xml:space="preserve">按现行相关文件规定执行</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13.2.2移交、接收全部与部分工程</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承包人向发包人移交工程的期限：</w:t>
      </w:r>
      <w:r>
        <w:rPr>
          <w:rFonts w:ascii="SimSun" w:hAnsi="SimSun" w:eastAsia="SimSun" w:cs="SimSun"/>
          <w:color w:val="000000"/>
          <w:sz w:val="24"/>
          <w:u w:val="single"/>
        </w:rPr>
        <w:t xml:space="preserve">承包人在竣工验收合格后20天内将需要整改部分全部整改到位，并将工程使用说明书等文件呈交发包人，按照相关文件规定履行相关手续，发包人审查合格后签发工程接收证书</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发包人未按本合同约定接收全部或部分工程的，违约金的计算方法为：</w:t>
      </w:r>
      <w:r>
        <w:rPr>
          <w:rFonts w:ascii="SimSun" w:hAnsi="SimSun" w:eastAsia="SimSun" w:cs="SimSun"/>
          <w:color w:val="000000"/>
          <w:sz w:val="24"/>
          <w:u w:val="single"/>
        </w:rPr>
        <w:t xml:space="preserve">按现行相关文件规定执行。</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承包人未按时移交工程的，违约金的计算方法为：</w:t>
      </w:r>
      <w:r>
        <w:rPr>
          <w:rFonts w:ascii="SimSun" w:hAnsi="SimSun" w:eastAsia="SimSun" w:cs="SimSun"/>
          <w:color w:val="000000"/>
          <w:sz w:val="24"/>
          <w:u w:val="single"/>
        </w:rPr>
        <w:t xml:space="preserve">按每延误一天处以2000元违约金</w:t>
      </w:r>
      <w:r>
        <w:rPr>
          <w:rFonts w:ascii="SimSun" w:hAnsi="SimSun" w:eastAsia="SimSun" w:cs="SimSun"/>
          <w:color w:val="000000"/>
          <w:sz w:val="24"/>
        </w:rPr>
        <w:t xml:space="preserve">。</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工程试车</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13.3.1 试车程序</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工程试车内容：</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（1）单机无负荷试车费用由</w:t>
      </w:r>
      <w:r>
        <w:rPr>
          <w:rFonts w:ascii="SimSun" w:hAnsi="SimSun" w:eastAsia="SimSun" w:cs="SimSun"/>
          <w:color w:val="000000"/>
          <w:sz w:val="24"/>
          <w:u w:val="single"/>
        </w:rPr>
        <w:t xml:space="preserve">承包人</w:t>
      </w:r>
      <w:r>
        <w:rPr>
          <w:rFonts w:ascii="SimSun" w:hAnsi="SimSun" w:eastAsia="SimSun" w:cs="SimSun"/>
          <w:color w:val="000000"/>
          <w:sz w:val="24"/>
        </w:rPr>
        <w:t xml:space="preserve">承担；</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（2）无负荷联动试车费用由</w:t>
      </w:r>
      <w:r>
        <w:rPr>
          <w:rFonts w:ascii="SimSun" w:hAnsi="SimSun" w:eastAsia="SimSun" w:cs="SimSun"/>
          <w:color w:val="000000"/>
          <w:sz w:val="24"/>
          <w:u w:val="single"/>
        </w:rPr>
        <w:t xml:space="preserve">承包人</w:t>
      </w:r>
      <w:r>
        <w:rPr>
          <w:rFonts w:ascii="SimSun" w:hAnsi="SimSun" w:eastAsia="SimSun" w:cs="SimSun"/>
          <w:color w:val="000000"/>
          <w:sz w:val="24"/>
        </w:rPr>
        <w:t xml:space="preserve">承担。</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13.3.2 投料试车</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关于投料试车相关事项的约定：</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13.4竣工退场</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13.4.1 竣工退场</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承包人完成竣工退场的期限：</w:t>
      </w:r>
      <w:r>
        <w:rPr>
          <w:rFonts w:ascii="SimSun" w:hAnsi="SimSun" w:eastAsia="SimSun" w:cs="SimSun"/>
          <w:color w:val="000000"/>
          <w:sz w:val="24"/>
          <w:u w:val="single"/>
        </w:rPr>
        <w:t xml:space="preserve">颁发工程接收证书后10天。交工前承包人应清理现场，须达到监理工程师和发包人的要求，并承担因违反有关规定而造成的损失费用。在发包人提出限时清理现场垃圾指令后，如承包人不予配合或不及时清理等情况，发包人有权另行委托其他单位进行清理，相应费用经监理、跟踪审计（如有）、发包人审核确认后，在承包人下期应付工程款中直接扣除</w:t>
      </w:r>
      <w:r/>
    </w:p>
    <w:p>
      <w:pPr>
        <w:ind w:left="0" w:right="0" w:firstLine="0"/>
        <w:jc w:val="both"/>
        <w:spacing w:before="260" w:after="2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竣工结算</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竣工付款申请</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承包人提交竣工付款申请单的期限：</w:t>
      </w:r>
      <w:r>
        <w:rPr>
          <w:rFonts w:ascii="SimSun" w:hAnsi="SimSun" w:eastAsia="SimSun" w:cs="SimSun"/>
          <w:color w:val="000000"/>
          <w:sz w:val="24"/>
          <w:u w:val="single"/>
        </w:rPr>
        <w:t xml:space="preserve">承包人应在工程竣后验收合格后28天内向发包人提出</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竣工付款申请单应包括的内容：</w:t>
      </w:r>
      <w:r>
        <w:rPr>
          <w:rFonts w:ascii="SimSun" w:hAnsi="SimSun" w:eastAsia="SimSun" w:cs="SimSun"/>
          <w:color w:val="000000"/>
          <w:sz w:val="24"/>
          <w:u w:val="single"/>
        </w:rPr>
        <w:t xml:space="preserve">按项目所在地相关规定执行</w:t>
      </w:r>
      <w:r>
        <w:rPr>
          <w:rFonts w:ascii="SimSun" w:hAnsi="SimSun" w:eastAsia="SimSun" w:cs="SimSun"/>
          <w:color w:val="000000"/>
          <w:sz w:val="24"/>
        </w:rPr>
        <w:t xml:space="preserve">。</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竣工结算审核</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发包人审批竣工付款申请单的期限：</w:t>
      </w:r>
      <w:r>
        <w:rPr>
          <w:rFonts w:ascii="SimSun" w:hAnsi="SimSun" w:eastAsia="SimSun" w:cs="SimSun"/>
          <w:color w:val="000000"/>
          <w:sz w:val="24"/>
          <w:u w:val="single"/>
        </w:rPr>
        <w:t xml:space="preserve">按项目所在地相关规定执行</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发包人完成竣工付款的期限：</w:t>
      </w:r>
      <w:r>
        <w:rPr>
          <w:rFonts w:ascii="SimSun" w:hAnsi="SimSun" w:eastAsia="SimSun" w:cs="SimSun"/>
          <w:color w:val="000000"/>
          <w:sz w:val="24"/>
          <w:u w:val="single"/>
        </w:rPr>
        <w:t xml:space="preserve">按合同工程款支付约定执行</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关于竣工付款证书异议部分复核的方式和程序：</w:t>
      </w:r>
      <w:r>
        <w:rPr>
          <w:rFonts w:ascii="SimSun" w:hAnsi="SimSun" w:eastAsia="SimSun" w:cs="SimSun"/>
          <w:color w:val="000000"/>
          <w:sz w:val="24"/>
          <w:u w:val="single"/>
        </w:rPr>
        <w:t xml:space="preserve">按项目所在地相关规定执行。</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最终结清</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14.3.1 最终结清申请单</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承包人提交最终结清申请单的份数：</w:t>
      </w:r>
      <w:r>
        <w:rPr>
          <w:rFonts w:ascii="SimSun" w:hAnsi="SimSun" w:eastAsia="SimSun" w:cs="SimSun"/>
          <w:color w:val="000000"/>
          <w:sz w:val="24"/>
          <w:u w:val="single"/>
        </w:rPr>
        <w:t xml:space="preserve">4份</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承包人提交最终结算申请单的期限：</w:t>
      </w:r>
      <w:r>
        <w:rPr>
          <w:rFonts w:ascii="SimSun" w:hAnsi="SimSun" w:eastAsia="SimSun" w:cs="SimSun"/>
          <w:color w:val="000000"/>
          <w:sz w:val="24"/>
          <w:u w:val="single"/>
        </w:rPr>
        <w:t xml:space="preserve">以建设单位具体要求为准</w:t>
      </w: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14.3.2 最终结清证书和支付</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（1）发包人完成最终结清申请单的审批并颁发最终结清证书的期限：</w:t>
      </w:r>
      <w:r>
        <w:rPr>
          <w:rFonts w:ascii="SimSun" w:hAnsi="SimSun" w:eastAsia="SimSun" w:cs="SimSun"/>
          <w:color w:val="000000"/>
          <w:sz w:val="24"/>
          <w:u w:val="single"/>
        </w:rPr>
        <w:t xml:space="preserve">以建设单位具体要求为准</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（2）发包人完成支付的期限：</w:t>
      </w:r>
      <w:r>
        <w:rPr>
          <w:rFonts w:ascii="SimSun" w:hAnsi="SimSun" w:eastAsia="SimSun" w:cs="SimSun"/>
          <w:color w:val="000000"/>
          <w:sz w:val="24"/>
          <w:u w:val="single"/>
        </w:rPr>
        <w:t xml:space="preserve">以建设单位具体要求为准</w:t>
      </w:r>
      <w:r>
        <w:rPr>
          <w:rFonts w:ascii="SimSun" w:hAnsi="SimSun" w:eastAsia="SimSun" w:cs="SimSun"/>
          <w:color w:val="000000"/>
          <w:sz w:val="24"/>
        </w:rPr>
        <w:t xml:space="preserve">。</w:t>
      </w:r>
      <w:r/>
    </w:p>
    <w:p>
      <w:pPr>
        <w:ind w:left="0" w:right="0" w:firstLine="0"/>
        <w:jc w:val="both"/>
        <w:spacing w:before="260" w:after="2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 缺陷责任期与保修</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15.1缺陷责任期</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缺陷责任期的具体期限：</w:t>
      </w:r>
      <w:r>
        <w:rPr>
          <w:rFonts w:ascii="SimSun" w:hAnsi="SimSun" w:eastAsia="SimSun" w:cs="SimSun"/>
          <w:color w:val="000000"/>
          <w:sz w:val="24"/>
          <w:u w:val="single"/>
        </w:rPr>
        <w:t xml:space="preserve">按相关规定执行</w:t>
      </w:r>
      <w:r>
        <w:rPr>
          <w:rFonts w:ascii="SimSun" w:hAnsi="SimSun" w:eastAsia="SimSun" w:cs="SimSun"/>
          <w:color w:val="000000"/>
          <w:sz w:val="24"/>
        </w:rPr>
        <w:t xml:space="preserve">。</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质量保证金</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关于是否扣留质量保证金的约定：</w:t>
      </w:r>
      <w:r>
        <w:rPr>
          <w:rFonts w:ascii="SimSun" w:hAnsi="SimSun" w:eastAsia="SimSun" w:cs="SimSun"/>
          <w:color w:val="000000"/>
          <w:sz w:val="24"/>
          <w:u w:val="single"/>
        </w:rPr>
        <w:t xml:space="preserve">按照通用条款</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15.3.1 承包人提供质量保证金的方式</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质量保证金采用以下第</w:t>
      </w:r>
      <w:r>
        <w:rPr>
          <w:rFonts w:ascii="SimSun" w:hAnsi="SimSun" w:eastAsia="SimSun" w:cs="SimSun"/>
          <w:color w:val="000000"/>
          <w:sz w:val="24"/>
          <w:u w:val="single"/>
        </w:rPr>
        <w:t xml:space="preserve">  2 </w:t>
      </w:r>
      <w:r>
        <w:rPr>
          <w:rFonts w:ascii="SimSun" w:hAnsi="SimSun" w:eastAsia="SimSun" w:cs="SimSun"/>
          <w:color w:val="000000"/>
          <w:sz w:val="24"/>
        </w:rPr>
        <w:t xml:space="preserve">种方式：</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（1）质量保证金保函，保证金额为：；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3 </w:t>
      </w:r>
      <w:r>
        <w:rPr>
          <w:rFonts w:ascii="SimSun" w:hAnsi="SimSun" w:eastAsia="SimSun" w:cs="SimSun"/>
          <w:color w:val="000000"/>
          <w:sz w:val="24"/>
        </w:rPr>
        <w:t xml:space="preserve">%的工程款；</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（3）其他方式:</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15.3.2 质量保证金的扣留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质量保证金的扣留采取以下第</w:t>
      </w:r>
      <w:r>
        <w:rPr>
          <w:rFonts w:ascii="SimSun" w:hAnsi="SimSun" w:eastAsia="SimSun" w:cs="SimSun"/>
          <w:color w:val="000000"/>
          <w:sz w:val="24"/>
          <w:u w:val="single"/>
        </w:rPr>
        <w:t xml:space="preserve">2</w:t>
      </w:r>
      <w:r>
        <w:rPr>
          <w:rFonts w:ascii="SimSun" w:hAnsi="SimSun" w:eastAsia="SimSun" w:cs="SimSun"/>
          <w:color w:val="000000"/>
          <w:sz w:val="24"/>
        </w:rPr>
        <w:t xml:space="preserve">种方式：</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（1）在支付工程进度款时逐次扣留，在此情形下，质量保证金的计算基数不包括预付款的支付、扣回以及价格调整的金额；</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（2）工程竣工结算时一次性扣留质量保证金；</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（3）其他扣留方式:</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关于质量保证金的补充约定：</w:t>
      </w:r>
      <w:r>
        <w:rPr>
          <w:rFonts w:ascii="SimSun" w:hAnsi="SimSun" w:eastAsia="SimSun" w:cs="SimSun"/>
          <w:color w:val="000000"/>
          <w:sz w:val="24"/>
          <w:u w:val="single"/>
        </w:rPr>
        <w:t xml:space="preserve">详见质量保修书</w:t>
      </w:r>
      <w:r>
        <w:rPr>
          <w:rFonts w:ascii="SimSun" w:hAnsi="SimSun" w:eastAsia="SimSun" w:cs="SimSun"/>
          <w:color w:val="000000"/>
          <w:sz w:val="24"/>
        </w:rPr>
        <w:t xml:space="preserve">。</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15.3保修</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15.3.1 保修责任</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工程保修期为：</w:t>
      </w:r>
      <w:r>
        <w:rPr>
          <w:rFonts w:ascii="SimSun" w:hAnsi="SimSun" w:eastAsia="SimSun" w:cs="SimSun"/>
          <w:color w:val="000000"/>
          <w:sz w:val="24"/>
          <w:u w:val="single"/>
        </w:rPr>
        <w:t xml:space="preserve">详见质量保修书</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15.3.2 修复通知</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承包人收到保修通知并到达工程现场的合理时间：</w:t>
      </w:r>
      <w:r>
        <w:rPr>
          <w:rFonts w:ascii="SimSun" w:hAnsi="SimSun" w:eastAsia="SimSun" w:cs="SimSun"/>
          <w:color w:val="000000"/>
          <w:sz w:val="24"/>
          <w:u w:val="single"/>
        </w:rPr>
        <w:t xml:space="preserve">在保修期内，发包人在使用过程中，发现已接收的工程存在缺陷或损坏的，应书面通知承包人予以修复，承包人应在接到通知后3日内派人维修，承包人不在约定期限内派人保修的，发包人可以委托他人修理，维修费用从质保金中扣除。发生紧急事故需抢修的必须立即修复缺陷或损坏的，发包人可以口头通知承包人并在口头通知后48小时内书面确认，承包人应立即到达工程现场并修复缺陷或损坏，承包人在接到事故通知后没有及时到场，发包人先行抢修，则抢修费用由承包人双倍承担。</w:t>
      </w:r>
      <w:r/>
    </w:p>
    <w:p>
      <w:pPr>
        <w:ind w:left="0" w:right="0" w:firstLine="0"/>
        <w:jc w:val="both"/>
        <w:spacing w:before="260" w:after="2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 违约</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发包人违约</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16.1.1发包人违约的情形</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发包人违约的其他情形：</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16.1.2 发包人违约的责任</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发包人违约责任的承担方式和计算方法：</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（1）因发包人原因未能在计划开工日期前7天内下达开工通知的违约责任：</w:t>
      </w:r>
      <w:r>
        <w:rPr>
          <w:rFonts w:ascii="SimSun" w:hAnsi="SimSun" w:eastAsia="SimSun" w:cs="SimSun"/>
          <w:color w:val="000000"/>
          <w:sz w:val="24"/>
          <w:u w:val="single"/>
        </w:rPr>
        <w:t xml:space="preserve">按照通用条款</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（2）因发包人原因未能按合同约定支付合同价款的违约责任：</w:t>
      </w:r>
      <w:r>
        <w:rPr>
          <w:rFonts w:ascii="SimSun" w:hAnsi="SimSun" w:eastAsia="SimSun" w:cs="SimSun"/>
          <w:color w:val="000000"/>
          <w:sz w:val="24"/>
          <w:u w:val="single"/>
        </w:rPr>
        <w:t xml:space="preserve">按照通用条款</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（3）发包人违反第10.1款〔变更的范围〕第（2）项约定，自行实施被取消的工作或转由他人实施的违约责任：</w:t>
      </w:r>
      <w:r>
        <w:rPr>
          <w:rFonts w:ascii="SimSun" w:hAnsi="SimSun" w:eastAsia="SimSun" w:cs="SimSun"/>
          <w:color w:val="000000"/>
          <w:sz w:val="24"/>
          <w:u w:val="single"/>
        </w:rPr>
        <w:t xml:space="preserve">按照通用条款</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（4）发包人提供的材料、工程设备的规格、数量或质量不符合合同约定，或因发包人原因导致交货日期延误或交货地点变更等情况的违约责任：</w:t>
      </w:r>
      <w:r>
        <w:rPr>
          <w:rFonts w:ascii="SimSun" w:hAnsi="SimSun" w:eastAsia="SimSun" w:cs="SimSun"/>
          <w:color w:val="000000"/>
          <w:sz w:val="24"/>
          <w:u w:val="single"/>
        </w:rPr>
        <w:t xml:space="preserve">按照通用条款</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（5）因发包人违反合同约定造成暂停施工的违约责任：</w:t>
      </w:r>
      <w:r>
        <w:rPr>
          <w:rFonts w:ascii="SimSun" w:hAnsi="SimSun" w:eastAsia="SimSun" w:cs="SimSun"/>
          <w:color w:val="000000"/>
          <w:sz w:val="24"/>
          <w:u w:val="single"/>
        </w:rPr>
        <w:t xml:space="preserve">按照通用条款</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（6）发包人无正当理由没有在约定期限内发出复工指示，导致承包人无法复工的违约责任：</w:t>
      </w:r>
      <w:r>
        <w:rPr>
          <w:rFonts w:ascii="SimSun" w:hAnsi="SimSun" w:eastAsia="SimSun" w:cs="SimSun"/>
          <w:color w:val="000000"/>
          <w:sz w:val="24"/>
          <w:u w:val="single"/>
        </w:rPr>
        <w:t xml:space="preserve">按照通用条款</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16.1.3 因发包人违约解除合同</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承包人按16.1.1项〔发包人违约的情形〕约定暂停施工满</w:t>
      </w:r>
      <w:r>
        <w:rPr>
          <w:rFonts w:ascii="SimSun" w:hAnsi="SimSun" w:eastAsia="SimSun" w:cs="SimSun"/>
          <w:color w:val="000000"/>
          <w:sz w:val="24"/>
          <w:u w:val="single"/>
        </w:rPr>
        <w:t xml:space="preserve">60</w:t>
      </w:r>
      <w:r>
        <w:rPr>
          <w:rFonts w:ascii="SimSun" w:hAnsi="SimSun" w:eastAsia="SimSun" w:cs="SimSun"/>
          <w:color w:val="000000"/>
          <w:sz w:val="24"/>
        </w:rPr>
        <w:t xml:space="preserve">天后发包人仍不纠正其违约行为并致使合同目的不能实现的，承包人有权解除合同。</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承包人违约</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16.2.1 承包人违约的情形</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承包人违约的其他情形：</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a).因承包人原因导致本工程出现重大质量事故的，承包人承担相应的责任；</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b).因承包人原因导致本工程出现重大安全事故的，承包人承担相应的全部责任；</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c).承包人省去建筑材料，降低材料的规格，使用劣质材料或不合规格的材料，发包人或监理工程师发现（包括工程竣工验收后发现的）一次，全部返工，并有权要求承包人更换并承担更换所发生的费用；</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d).承包人转包本工程全部或者部分或者未经发包人同意擅自分包本工程的（包括在工程竣工验收通过后发包人发现存在该种情形的），承包人承担相应责任；</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e).如承包人违约，导致合同无法履行，发包人有权单方终止合同，无须承包人同意。合同终止后，承包人除按本合同条款承担违约责任外，还应承担向发包人赔偿实际损失的责任，发包人有权从应支付承包人的工程款、已缴付的履约保证金等可扣款项中扣除（若上述款项不足或没有可扣除款项，承包人应另行向发包人支付）。对承包人已实际完成的工程量，按发包人委托审计机构出具的审计报告予以支付工程款。承包人在收到终止合同通知的10日内须将属于承包人所有的机器设备等财产运出工程现场。未在规定期限内运出的，则视为放弃财产，发包人有权处理该机器设</w:t>
      </w:r>
      <w:r>
        <w:rPr>
          <w:rFonts w:ascii="SimSun" w:hAnsi="SimSun" w:eastAsia="SimSun" w:cs="SimSun"/>
          <w:color w:val="000000"/>
          <w:sz w:val="24"/>
          <w:u w:val="single"/>
        </w:rPr>
        <w:t xml:space="preserve">备；</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f).承包人的项目经理必须全职在本工程现场直至整个工程竣工验收结束并交付使用，未经发包人书面同意，项目经理不得离开现场；</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g).如现任项目经理或项目副经理或技术总负责人不能胜任工作，发包人可要求更换，直至更换符合本工程需要的项目经理等。承包人必须在收到发包人更换项目经理或项目副经理或技术总负责人通知的7天内负责更换，更换的项目经理等应得到发包人的确认。</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h).承包人更换其投标前承诺的项目经理或项目副经理均须经发包人和现场工程师书面批准。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i) 总工期不得延误。如承包人延误总工期，则按每延误一天承担合同价万分之五的违约金计算，以延误天数累计，不封顶。</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j)承包人质量达不到约定质量标准的，必须自费进行返工；经返工质量仍达不到约定质量等级的，必须承担质量违约金，质量违约金按苏州市有关文件规定执行；工程质量不合格返工使工程逾期完成，承包人必须承担逾期完工的违约金，逾期完工违约金和工程质量违约金同时适用</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16.2.2承包人违约的责任</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承包人违约责任的承担方式和计算方法：</w:t>
      </w:r>
      <w:r>
        <w:rPr>
          <w:rFonts w:ascii="SimSun" w:hAnsi="SimSun" w:eastAsia="SimSun" w:cs="SimSun"/>
          <w:color w:val="000000"/>
          <w:sz w:val="24"/>
          <w:u w:val="single"/>
        </w:rPr>
        <w:t xml:space="preserve">按合同专用条款各项中规定的数额支付违约金</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16.2.3 因承包人违约解除合同</w:t>
      </w:r>
      <w:r/>
    </w:p>
    <w:p>
      <w:pPr>
        <w:ind w:left="0" w:right="0" w:firstLine="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关于承包人违约解除合同的特别约定：</w:t>
      </w:r>
      <w:r>
        <w:rPr>
          <w:rFonts w:ascii="SimSun" w:hAnsi="SimSun" w:eastAsia="SimSun" w:cs="SimSun"/>
          <w:color w:val="000000"/>
          <w:sz w:val="24"/>
          <w:u w:val="single"/>
        </w:rPr>
        <w:t xml:space="preserve">如承包人违约，导致合同无法履行，发包人有权单方终止合同，无须承包人同意。合同终止后，承包人除按本合同条款承担违约责任外，还应承担向发包人赔偿实际损失的责任，发包人有权从应支付承包人的工程款、已缴付的履约保证金等可扣款项中扣除（若上述款项不足或没有可扣除款项，承包人应另行向发包人支付）。对承包人已实际完成的工程量，按发包人委托审计机构出具的审计报告予以支付工程款。承包人在收到终止合同通知的10日内须将属于承包人所有的机器设备等财产运出工程现场。未在规定期限内运出的，则视为放弃财产，发包人有权处理该机器设备。</w:t>
      </w:r>
      <w:r/>
    </w:p>
    <w:p>
      <w:pPr>
        <w:ind w:left="0" w:right="0" w:firstLine="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发包人继续使用承包人在施工现场的材料、设备、临时工程、承包人文件和由承包人或以其名义编制的其他文件的费用承担方式：</w:t>
      </w:r>
      <w:r/>
    </w:p>
    <w:p>
      <w:pPr>
        <w:ind w:left="0" w:right="0" w:firstLine="0"/>
        <w:jc w:val="both"/>
        <w:spacing w:before="260" w:after="2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 不可抗力 </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不可抗力的确认</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除通用合同条款约定的不可抗力事件之外，视为不可抗力的其他情形：</w:t>
      </w:r>
      <w:r>
        <w:rPr>
          <w:rFonts w:ascii="SimSun" w:hAnsi="SimSun" w:eastAsia="SimSun" w:cs="SimSun"/>
          <w:color w:val="000000"/>
          <w:sz w:val="24"/>
          <w:u w:val="single"/>
        </w:rPr>
        <w:t xml:space="preserve">按现行相关文件规定执行。</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17.2因不可抗力解除合同</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合同解除后，发包人应在商定或确定发包人应支付款项后</w:t>
      </w:r>
      <w:r>
        <w:rPr>
          <w:rFonts w:ascii="SimSun" w:hAnsi="SimSun" w:eastAsia="SimSun" w:cs="SimSun"/>
          <w:color w:val="000000"/>
          <w:sz w:val="24"/>
          <w:u w:val="single"/>
        </w:rPr>
        <w:t xml:space="preserve">30</w:t>
      </w:r>
      <w:r>
        <w:rPr>
          <w:rFonts w:ascii="SimSun" w:hAnsi="SimSun" w:eastAsia="SimSun" w:cs="SimSun"/>
          <w:color w:val="000000"/>
          <w:sz w:val="24"/>
        </w:rPr>
        <w:t xml:space="preserve">天内完成款项的支付。</w:t>
      </w:r>
      <w:r/>
    </w:p>
    <w:p>
      <w:pPr>
        <w:ind w:left="0" w:right="0" w:firstLine="0"/>
        <w:jc w:val="both"/>
        <w:spacing w:before="260" w:after="2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 保险</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工程保险</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关于工程保险的特别约定：</w:t>
      </w:r>
      <w:r>
        <w:rPr>
          <w:rFonts w:ascii="SimSun" w:hAnsi="SimSun" w:eastAsia="SimSun" w:cs="SimSun"/>
          <w:color w:val="000000"/>
          <w:sz w:val="24"/>
          <w:u w:val="single"/>
        </w:rPr>
        <w:t xml:space="preserve">按现行相关文件规定执行。</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18.2其他保险</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关于其他保险的约定：</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承包人是否应为其施工设备等办理财产保险：</w:t>
      </w:r>
      <w:r>
        <w:rPr>
          <w:rFonts w:ascii="SimSun" w:hAnsi="SimSun" w:eastAsia="SimSun" w:cs="SimSun"/>
          <w:color w:val="000000"/>
          <w:sz w:val="24"/>
          <w:u w:val="single"/>
        </w:rPr>
        <w:t xml:space="preserve">按现行相关文件规定执行。</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通知义务</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关于变更保险合同时的通知义务的约定：</w:t>
      </w:r>
      <w:r>
        <w:rPr>
          <w:rFonts w:ascii="SimSun" w:hAnsi="SimSun" w:eastAsia="SimSun" w:cs="SimSun"/>
          <w:color w:val="000000"/>
          <w:sz w:val="24"/>
          <w:u w:val="single"/>
        </w:rPr>
        <w:t xml:space="preserve">按现行相关文件规定执行。</w:t>
      </w:r>
      <w:r/>
    </w:p>
    <w:p>
      <w:pPr>
        <w:ind w:left="0" w:right="0" w:firstLine="0"/>
        <w:jc w:val="both"/>
        <w:spacing w:before="260" w:after="2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 争议解决</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争议评审</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合同当事人是否同意将工程争议提交争议评审小组决定：</w:t>
      </w:r>
      <w:r>
        <w:rPr>
          <w:rFonts w:ascii="SimSun" w:hAnsi="SimSun" w:eastAsia="SimSun" w:cs="SimSun"/>
          <w:color w:val="000000"/>
          <w:sz w:val="24"/>
          <w:u w:val="single"/>
        </w:rPr>
        <w:t xml:space="preserve">否</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19.1.1 争议评审小组的确定</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争议评审小组成员的确定：。</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选定争议评审员的期限：。</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争议评审小组成员的报酬承担方式：。</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其他事项的约定：</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19.1.2 争议评审小组的决定</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合同当事人关于本项的约定：</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19.2仲裁或诉讼</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因合同及合同有关事项发生的争议，按下列第</w:t>
      </w:r>
      <w:r>
        <w:rPr>
          <w:rFonts w:ascii="SimSun" w:hAnsi="SimSun" w:eastAsia="SimSun" w:cs="SimSun"/>
          <w:color w:val="000000"/>
          <w:sz w:val="24"/>
          <w:u w:val="single"/>
        </w:rPr>
        <w:t xml:space="preserve">  2  </w:t>
      </w:r>
      <w:r>
        <w:rPr>
          <w:rFonts w:ascii="SimSun" w:hAnsi="SimSun" w:eastAsia="SimSun" w:cs="SimSun"/>
          <w:color w:val="000000"/>
          <w:sz w:val="24"/>
        </w:rPr>
        <w:t xml:space="preserve">种方式解决：</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（1）向仲裁委员会申请仲裁；</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w:t>
      </w:r>
      <w:r>
        <w:rPr>
          <w:rFonts w:ascii="SimSun" w:hAnsi="SimSun" w:eastAsia="SimSun" w:cs="SimSun"/>
          <w:color w:val="000000"/>
          <w:sz w:val="24"/>
          <w:u w:val="single"/>
        </w:rPr>
        <w:t xml:space="preserve">  工程所在地 </w:t>
      </w:r>
      <w:r>
        <w:rPr>
          <w:rFonts w:ascii="SimSun" w:hAnsi="SimSun" w:eastAsia="SimSun" w:cs="SimSun"/>
          <w:color w:val="000000"/>
          <w:sz w:val="24"/>
        </w:rPr>
        <w:t xml:space="preserve">人民法院起诉。</w:t>
      </w:r>
      <w:r/>
    </w:p>
    <w:p>
      <w:pPr>
        <w:ind w:left="0" w:right="0" w:firstLine="0"/>
        <w:jc w:val="both"/>
        <w:spacing w:before="260" w:after="2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20.补充条款</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20.1本工程首席建造师 （仅适用于苏住建规【2014】5号文规定的政府投资的重大(重点)工程项目）：</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建造师执业资格等级：；</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建造师注册证书号：；</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安全生产考核合格证书号：；</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首席建造师受施工单位委托，为项目施工总负责人，对工程项目的施工全工程实施管理。其职责是：负责组建项目管理部，落实项目施工主体责任，确保按图施工及施工质量、生产安全；做好施工组织和施工进度管理；配合做好工程各阶段的验收及竣工验收工作等。</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其他补充：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20.2工程建设结算审计要求：</w:t>
      </w:r>
      <w:r>
        <w:rPr>
          <w:rFonts w:ascii="SimSun" w:hAnsi="SimSun" w:eastAsia="SimSun" w:cs="SimSun"/>
          <w:color w:val="000000"/>
          <w:sz w:val="24"/>
          <w:u w:val="single"/>
        </w:rPr>
        <w:t xml:space="preserve">按项目所在地相关规定执行</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20.3本项目所涉及的相关投标费用均由中标单位支付。</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20.4其他补充：</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一、其他补充</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将对项目经理部实行月度考核制度：每月组织一次督查，对项目经理部进行抽查、考核、评比，主要检查项目经理部组织机构人员到位、计划执行、质量控制、试验检测、内业资料等情况。同时对承包人安全生产、文明施工情况作定期或不定期的专项检查和考核。</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应在申请第一笔工程款项时向发包人提供承包人为履行合同的全部员工办理的工伤保险、以及分包人及承包人为履行合同聘请的第三方的工伤保险、第三方人员（包括甲方聘请的第三方人员）意外伤害保险、承包人施工现场全部人员意外伤害保险、施工设备财产保险等。</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3、本工程承包人已将与其它施工单位的配合费用考虑到合同价中，发包人不再承担为此发生的一切费用。</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同专用条款第14.2条竣工结算审核补充：施工单位在编制工程结算时要求做到真实、准确、严肃，不得故意抬高或漏计结算价。工程结算送审存在核减（正偏差）的，如工程结算审计核减金额超过总价7%，则超过7%部分的核减造价按4%计算费用，由施工单位承担，上述费用作为施工单位的让利，由审计单位在审定工程总造价中直接扣除。本工程结算以审计结果为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5、承包人在进行竣工结算编制时，应本着实事求是的原则，不得高估冒算。</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6、施工用水、用电招标人只提供接入点，位置以现场踏勘为准，施工过程中的水电费用均已包含在发包价中，不另行结算。招标人不提供临时设施搭设场地，请各投标人自行考虑。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请各投标单位自行现场踏勘，所有现场的沟通协调工作均由中标单位负责，且在施工过程中应保证村民的安全通行，不得因施工噪音和野蛮施工等造成投诉上访事件，若因此对建设单位造成不良影响的则视为违约（违约金以2000-5000元/每次计）。</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8、根据要求，项目现场必须安装实名制管理系统。</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9、施工围挡：本项目围挡施工须满足项目所在地相关文件规定。</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10、工程审计按照项目所在地相关文件执行。</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11、与本工程相关的事宜，均需按照项目所在地相关文件执行。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专用条款附件：</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附件一：工程质量保修书</w:t>
      </w:r>
      <w:r/>
    </w:p>
    <w:p>
      <w:pPr>
        <w:ind w:left="360" w:right="0" w:firstLine="422"/>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工程质量保修书</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发包人（全称）：</w:t>
      </w:r>
      <w:r>
        <w:rPr>
          <w:rFonts w:ascii="SimSun" w:hAnsi="SimSun" w:eastAsia="SimSun" w:cs="SimSun"/>
          <w:color w:val="000000"/>
          <w:sz w:val="24"/>
          <w:u w:val="single"/>
        </w:rPr>
        <w:t xml:space="preserve">苏州市相城区人民政府漕湖街道办事处</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承包人（全称）： </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21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发包人和承包人根据《中华人民共和国建筑法》和《建设工程质量管理条例》，经协商一致就</w:t>
      </w:r>
      <w:r>
        <w:rPr>
          <w:rFonts w:ascii="SimSun" w:hAnsi="SimSun" w:eastAsia="SimSun" w:cs="SimSun"/>
          <w:color w:val="000000"/>
          <w:sz w:val="24"/>
          <w:u w:val="single"/>
        </w:rPr>
        <w:t xml:space="preserve"> 芮嘉河整治工程 </w:t>
      </w:r>
      <w:r>
        <w:rPr>
          <w:rFonts w:ascii="SimSun" w:hAnsi="SimSun" w:eastAsia="SimSun" w:cs="SimSun"/>
          <w:color w:val="000000"/>
          <w:sz w:val="24"/>
        </w:rPr>
        <w:t xml:space="preserve">（工程全称）签订工程质量保修书。</w:t>
      </w:r>
      <w:r/>
    </w:p>
    <w:p>
      <w:pPr>
        <w:numPr>
          <w:ilvl w:val="0"/>
          <w:numId w:val="30"/>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工程质量保修范围和内容</w:t>
      </w:r>
      <w:r/>
    </w:p>
    <w:p>
      <w:pPr>
        <w:ind w:left="21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承包人在质量保修期内，按照有关法律规定和合同约定，承担工程质量保修责任。</w:t>
      </w:r>
      <w:r/>
    </w:p>
    <w:p>
      <w:pPr>
        <w:ind w:left="21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SimSun" w:hAnsi="SimSun" w:eastAsia="SimSun" w:cs="SimSun"/>
          <w:color w:val="000000"/>
          <w:sz w:val="24"/>
          <w:u w:val="single"/>
        </w:rPr>
        <w:t xml:space="preserve">工程承包范围内的所有工程</w:t>
      </w:r>
      <w:r>
        <w:rPr>
          <w:rFonts w:ascii="SimSun" w:hAnsi="SimSun" w:eastAsia="SimSun" w:cs="SimSun"/>
          <w:color w:val="000000"/>
          <w:sz w:val="24"/>
        </w:rPr>
        <w:t xml:space="preserve">。</w:t>
      </w:r>
      <w:r/>
    </w:p>
    <w:p>
      <w:pPr>
        <w:ind w:left="21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二、质量保修期</w:t>
      </w:r>
      <w:r/>
    </w:p>
    <w:p>
      <w:pPr>
        <w:ind w:left="777"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根据《建设工程质量管理条例》及有关规定，工程的质量保修期如下：</w:t>
      </w:r>
      <w:r/>
    </w:p>
    <w:p>
      <w:pPr>
        <w:ind w:left="357"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1．地基基础工程和主体结构工程为设计文件规定的工程合理使用年限；</w:t>
      </w:r>
      <w:r/>
    </w:p>
    <w:p>
      <w:pPr>
        <w:ind w:left="357"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2．屋面防水工程、有防水要求的卫生间、房间和外墙面的防渗为</w:t>
      </w:r>
      <w:r>
        <w:rPr>
          <w:rFonts w:ascii="SimSun" w:hAnsi="SimSun" w:eastAsia="SimSun" w:cs="SimSun"/>
          <w:color w:val="000000"/>
          <w:sz w:val="24"/>
          <w:u w:val="single"/>
        </w:rPr>
        <w:t xml:space="preserve">  5  </w:t>
      </w:r>
      <w:r>
        <w:rPr>
          <w:rFonts w:ascii="SimSun" w:hAnsi="SimSun" w:eastAsia="SimSun" w:cs="SimSun"/>
          <w:color w:val="000000"/>
          <w:sz w:val="24"/>
        </w:rPr>
        <w:t xml:space="preserve">年；</w:t>
      </w:r>
      <w:r/>
    </w:p>
    <w:p>
      <w:pPr>
        <w:ind w:left="357"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3．装修工程为</w:t>
      </w:r>
      <w:r>
        <w:rPr>
          <w:rFonts w:ascii="SimSun" w:hAnsi="SimSun" w:eastAsia="SimSun" w:cs="SimSun"/>
          <w:color w:val="000000"/>
          <w:sz w:val="24"/>
          <w:u w:val="single"/>
        </w:rPr>
        <w:t xml:space="preserve">  2  </w:t>
      </w:r>
      <w:r>
        <w:rPr>
          <w:rFonts w:ascii="SimSun" w:hAnsi="SimSun" w:eastAsia="SimSun" w:cs="SimSun"/>
          <w:color w:val="000000"/>
          <w:sz w:val="24"/>
        </w:rPr>
        <w:t xml:space="preserve">年；</w:t>
      </w:r>
      <w:r/>
    </w:p>
    <w:p>
      <w:pPr>
        <w:ind w:left="357"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4．电气管线、给排水管道、设备安装工程为</w:t>
      </w:r>
      <w:r>
        <w:rPr>
          <w:rFonts w:ascii="SimSun" w:hAnsi="SimSun" w:eastAsia="SimSun" w:cs="SimSun"/>
          <w:color w:val="000000"/>
          <w:sz w:val="24"/>
          <w:u w:val="single"/>
        </w:rPr>
        <w:t xml:space="preserve">  2  </w:t>
      </w:r>
      <w:r>
        <w:rPr>
          <w:rFonts w:ascii="SimSun" w:hAnsi="SimSun" w:eastAsia="SimSun" w:cs="SimSun"/>
          <w:color w:val="000000"/>
          <w:sz w:val="24"/>
        </w:rPr>
        <w:t xml:space="preserve">年；</w:t>
      </w:r>
      <w:r/>
    </w:p>
    <w:p>
      <w:pPr>
        <w:ind w:left="357"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5．供热与供冷系统为</w:t>
      </w:r>
      <w:r>
        <w:rPr>
          <w:rFonts w:ascii="SimSun" w:hAnsi="SimSun" w:eastAsia="SimSun" w:cs="SimSun"/>
          <w:color w:val="000000"/>
          <w:sz w:val="24"/>
          <w:u w:val="single"/>
        </w:rPr>
        <w:t xml:space="preserve">  2  </w:t>
      </w:r>
      <w:r>
        <w:rPr>
          <w:rFonts w:ascii="SimSun" w:hAnsi="SimSun" w:eastAsia="SimSun" w:cs="SimSun"/>
          <w:color w:val="000000"/>
          <w:sz w:val="24"/>
        </w:rPr>
        <w:t xml:space="preserve">个采暖期、供冷期；</w:t>
      </w:r>
      <w:r/>
    </w:p>
    <w:p>
      <w:pPr>
        <w:ind w:left="357"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6．住宅小区内的给排水设施、道路等配套工程为</w:t>
      </w:r>
      <w:r>
        <w:rPr>
          <w:rFonts w:ascii="SimSun" w:hAnsi="SimSun" w:eastAsia="SimSun" w:cs="SimSun"/>
          <w:color w:val="000000"/>
          <w:sz w:val="24"/>
          <w:u w:val="single"/>
        </w:rPr>
        <w:t xml:space="preserve">  2  </w:t>
      </w:r>
      <w:r>
        <w:rPr>
          <w:rFonts w:ascii="SimSun" w:hAnsi="SimSun" w:eastAsia="SimSun" w:cs="SimSun"/>
          <w:color w:val="000000"/>
          <w:sz w:val="24"/>
        </w:rPr>
        <w:t xml:space="preserve">年；</w:t>
      </w:r>
      <w:r/>
    </w:p>
    <w:p>
      <w:pPr>
        <w:ind w:left="357"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7．其他项目保修期限约定如下：</w:t>
      </w:r>
      <w:r>
        <w:rPr>
          <w:rFonts w:ascii="SimSun" w:hAnsi="SimSun" w:eastAsia="SimSun" w:cs="SimSun"/>
          <w:color w:val="000000"/>
          <w:sz w:val="24"/>
          <w:u w:val="single"/>
        </w:rPr>
        <w:t xml:space="preserve"> 1 </w:t>
      </w:r>
      <w:r>
        <w:rPr>
          <w:rFonts w:ascii="SimSun" w:hAnsi="SimSun" w:eastAsia="SimSun" w:cs="SimSun"/>
          <w:color w:val="000000"/>
          <w:sz w:val="24"/>
        </w:rPr>
        <w:t xml:space="preserve">年；质量保修期自工程竣工验收合格之日起计算。</w:t>
      </w:r>
      <w:r/>
    </w:p>
    <w:p>
      <w:pPr>
        <w:ind w:left="0" w:right="0" w:firstLine="84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三、缺陷责任期</w:t>
      </w:r>
      <w:r/>
    </w:p>
    <w:p>
      <w:pPr>
        <w:ind w:left="357"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工程缺陷责任期为</w:t>
      </w:r>
      <w:r>
        <w:rPr>
          <w:rFonts w:ascii="SimSun" w:hAnsi="SimSun" w:eastAsia="SimSun" w:cs="SimSun"/>
          <w:color w:val="000000"/>
          <w:sz w:val="24"/>
          <w:u w:val="single"/>
        </w:rPr>
        <w:t xml:space="preserve"> 12 </w:t>
      </w:r>
      <w:r>
        <w:rPr>
          <w:rFonts w:ascii="SimSun" w:hAnsi="SimSun" w:eastAsia="SimSun" w:cs="SimSun"/>
          <w:color w:val="000000"/>
          <w:sz w:val="24"/>
        </w:rPr>
        <w:t xml:space="preserve">个月，缺陷责任期自工程实际竣工之日起计算。单位工程先于全部工程进行验收，单位工程缺陷责任期自单位工程验收合格之日起算。</w:t>
      </w:r>
      <w:r/>
    </w:p>
    <w:p>
      <w:pPr>
        <w:ind w:left="357"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缺陷责任期终止后，发包人应退还剩余的质量保证金。</w:t>
      </w:r>
      <w:r/>
    </w:p>
    <w:p>
      <w:pPr>
        <w:ind w:left="357"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四、质量保修责任</w:t>
      </w:r>
      <w:r/>
    </w:p>
    <w:p>
      <w:pPr>
        <w:ind w:left="357"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1．属于保修范围、内容的项目，承包人应当在接到保修通知之日起3天内派人保修。承包人不在约定期限内派人保修的，发包人可以委托他人修理，维修费用从质保金中扣除。</w:t>
      </w:r>
      <w:r/>
    </w:p>
    <w:p>
      <w:pPr>
        <w:ind w:left="357"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2．发生紧急事故需抢修的，承包人在接到事故通知后，应当立即到达事故现场抢修。</w:t>
      </w:r>
      <w:r/>
    </w:p>
    <w:p>
      <w:pPr>
        <w:ind w:left="357"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357"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4．质量保修完成后，由发包人组织验收。</w:t>
      </w:r>
      <w:r/>
    </w:p>
    <w:p>
      <w:pPr>
        <w:ind w:left="357"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五、保修费用</w:t>
      </w:r>
      <w:r/>
    </w:p>
    <w:p>
      <w:pPr>
        <w:ind w:left="357"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保修费用由造成质量缺陷的责任方承担。</w:t>
      </w:r>
      <w:r/>
    </w:p>
    <w:p>
      <w:pPr>
        <w:ind w:left="210" w:right="0" w:firstLine="63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六、双方约定的其他工程质量保修事项</w:t>
      </w:r>
      <w:r/>
    </w:p>
    <w:p>
      <w:pPr>
        <w:ind w:left="210" w:right="0" w:firstLine="63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发生紧急事故需抢修的，承包人在接到事故通知后没有及时到场，发包人先行抢修，则抢修费用由承包人双倍承担。 </w:t>
      </w:r>
      <w:r/>
    </w:p>
    <w:p>
      <w:pPr>
        <w:ind w:left="357"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工程质量保修书由发包人、承包人在工程竣工验收前共同签署，作为施工合同附件，其有效期限至保修期满。</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发包人(公章)：             承包人(公章)：</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组织机构代码：         组织机构代码：；</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邮政编码：邮政编码：；</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           法定代表人：；</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委托代理人：委托代理人：；</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电  话：；</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               传  真：；</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             电子信箱：；</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             开户银行：；</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账  号：；</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附件二：安全生产、文明施工协议书</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360" w:right="0" w:firstLine="422"/>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安全生产、文明施工协议书</w:t>
      </w:r>
      <w:r/>
    </w:p>
    <w:p>
      <w:pPr>
        <w:ind w:left="360" w:right="0" w:firstLine="422"/>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w:t>
      </w:r>
      <w:r>
        <w:rPr>
          <w:rFonts w:ascii="SimSun" w:hAnsi="SimSun" w:eastAsia="SimSun" w:cs="SimSun"/>
          <w:color w:val="000000"/>
          <w:sz w:val="24"/>
          <w:u w:val="single"/>
        </w:rPr>
        <w:t xml:space="preserve">苏州市相城区人民政府漕湖街道办事处</w:t>
      </w:r>
      <w:r>
        <w:rPr>
          <w:rFonts w:ascii="SimSun" w:hAnsi="SimSun" w:eastAsia="SimSun" w:cs="SimSun"/>
          <w:color w:val="000000"/>
          <w:sz w:val="24"/>
        </w:rPr>
        <w:t xml:space="preserve">（以下简称甲方） </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w:t>
      </w:r>
      <w:r>
        <w:rPr>
          <w:rFonts w:ascii="SimSun" w:hAnsi="SimSun" w:eastAsia="SimSun" w:cs="SimSun"/>
          <w:color w:val="000000"/>
          <w:sz w:val="24"/>
          <w:u w:val="single"/>
        </w:rPr>
        <w:t xml:space="preserve">                                  </w:t>
      </w:r>
      <w:r>
        <w:rPr>
          <w:rFonts w:ascii="SimSun" w:hAnsi="SimSun" w:eastAsia="SimSun" w:cs="SimSun"/>
          <w:color w:val="000000"/>
          <w:sz w:val="24"/>
        </w:rPr>
        <w:t xml:space="preserve"> （以下简称乙方） </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明确甲乙双方的权利和义务，保障工程实施及相关作业人员的安全，依据《建筑工程安全生产管理条例》，国家、江苏省、苏州市当地相关法律法规的规定，结合工程项目建设的实际情况，经甲乙双方协商一致，达成如下协议： </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一、甲方的权利和义务 </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1、甲方有权对乙方进行安全生产教育。 </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2、甲方有权随时进行监督、检查，并有权责令乙方清除不安全隐患的权利。 </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3、甲方有权统一管理乙方驻地建设，并要求乙方维护好现场环境。 </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4、甲方有对乙方在施工过程中，违反国家安全生产、消防、交通、治安管理政策、法规，违反甲方安全管理规章，不服从甲方管理等行为进行处罚直至单方解除合同的权利。 </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5、甲方安全责任人员应检查乙方自带或外租机械设备、小型电动工具、临时用电设施以及个人防护用品(如安全帽、安全带)等，并进行验收。 </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二、乙方的权利和义务 </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乙方施工过程中，甲方工作人员有违章指挥、强令冒险作业的行为，乙方有权制止违章行为，并提出批评、拒绝执行以及检举、控告的权利；乙方明知甲方人员违章指挥而不制止并造成损失，乙方承担责任。 </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2、因甲方过错，造成乙方人员或财产的损害，乙方有权向甲方提出索赔。乙方负责人必须履行对其招收的全体务工人员进行入场前的安全生产教育的义务。 </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3、乙方必须为其招收的外地务工人员办理所需的一切必要手续和证件。</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施工过程中，乙方必须自觉遵守法纪，遵守安全管理规章制度、措施、规定（包括甲方制定的相关规定）。严格遵守安全操作规程。对违反本条款所造成的损失和后果，由乙方承担。情节严重的甲方有权终止合同。 </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5、在为甲方工作期间，乙方自带或外租的设备、设施，必须符合规范要求，经甲方安全管理人员验收合格后方可进场。凡未经验收批准，擅自投入使用，由此造成的损失，由乙方承担。 </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6、乙方特殊工种作业人员必须依法持证上岗。 </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乙方在施工期内，要爱护甲方的各种设施、设备。严禁偷盗、挪用、破坏施工现场的安全防护设施、警示标志、材料、机械设备以及消防器材等。凡乙方人员违反本条款，一经发现加倍处罚，严肃处理，情节严重的送公安机关处理。 </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施工作业区管理要求：施工现场应围挡整齐，沿街及重要部位须按发包人要求设置，并保证安全美观，施工标语内容须征得发包人认可；现场布局合理整洁，无杂草、积水、异味，场内道路必须进行硬化并保证畅通；各种材料应堆放整齐，施工垃圾须定点堆放，及时清运，严禁在施工现场以外堆放材料。乙方人员必须遵守劳动纪律，在工作中按规定正确佩带和使用个人防护用品，严禁袒胸露背，穿拖鞋上岗。土方、泥浆等外运过程，严格按程序操作，不得在施工现场遗洒，同时应有避免扬尘的措施。 </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生活区管理要求：施工现场必须设置专用厕所，并有专人管理，严禁随意大小便；生活、生产废水及施工降水未处理合格，不得排入市政管网；不得破坏树木、绿地；乙方的生活区要符合文明工地的要求，搞好并保持宿舍、食堂等处的环境卫生，工人食堂必须干净整洁，无蝇无鼠，操作人员证件齐全，认真执行食品卫生安全的有关规定，严防工人食物中毒。严禁在宿舍内私拉电线；严禁在宿舍内使用电炉子等电器设备。凡乙方人员违反本条款规定，所造成的损失由乙方承担。禁止非施工单位人员在工地留宿，施工现场禁止聚众打牌赌博、饮酒闹事、传阅淫秽物品。 </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用电及消防：施工现场临时用电必须符合《施工现场临时用电安全技术规范》，固定式配电箱应设置围栏并有明显的安全警示标志，严禁非专业人员接拆电线，防止发生触电事故，严禁使用电炉子等妨碍现场安全的用电设备。现场消火栓及其他消防器材配备齐全、位置合理，应有明显的警示标志。 </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11、夜间施工服从政府职能统一管理，或按照规定办理好相关手续，做到不扰民。 </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12、在施工过程中，发现文物古迹时，要立即保护现场，并及时报告。严禁破坏、私自收藏、倒卖或隐瞒不报。</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在施工过程中，发生交通、施工、机电、消防等安全事故，要立即抢救伤者，采取措施减少财产损失，保护现场，积极主动的配合甲方处理事故。同时现场应有专门负责安全、文明施工的管理人员，定期检查，发现问题及时整改；对发包人提出的其他有关安全、文明施工等方面问题必须积极配合，认真履行。 </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14、施工前，承包方应依据苏州市《危险性较大工程安全专项施工方案编制、专家论证审查与备案办法（试行）》文要求，编制有关专项安全方案，做好方案报审、专家审查和政府备案工作。 </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15、严格遵守国家法律法规的要求。 </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三、因乙方的过错，造成甲方或他人财产或人身损害或甲方</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被处罚，乙方应负赔偿责任。 </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四、本协议为建筑工程施工承包合同的从合同，随施工承包</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合同生效而生效， 施工承包合同解除之日起，本协议自然失效，但因乙方违背协议，造成主合同终止，不影响本协议责任条款的效力。 </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五、本协议一式四份，甲、乙双方各持二份。 </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 （盖单位章）承包人： （盖单位章） </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法定代表人或其委托代理人：法定代表人或其委托代理人： </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（签字）（签字）</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年月日年月日</w:t>
      </w:r>
      <w:r/>
    </w:p>
    <w:p>
      <w:pPr>
        <w:ind w:left="360" w:right="0" w:firstLine="422"/>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360" w:right="0" w:firstLine="422"/>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360" w:right="0" w:firstLine="422"/>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360" w:right="0" w:firstLine="422"/>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360" w:right="0" w:firstLine="422"/>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360" w:right="0" w:firstLine="422"/>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360" w:right="0" w:firstLine="422"/>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360" w:right="0" w:firstLine="422"/>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360" w:right="0" w:firstLine="422"/>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附件三：廉政责任书格式</w:t>
      </w:r>
      <w:r/>
    </w:p>
    <w:p>
      <w:pPr>
        <w:ind w:left="360" w:right="0" w:firstLine="42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建设工程廉政责任书</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w:t>
      </w:r>
      <w:r>
        <w:rPr>
          <w:rFonts w:ascii="SimSun" w:hAnsi="SimSun" w:eastAsia="SimSun" w:cs="SimSun"/>
          <w:color w:val="000000"/>
          <w:sz w:val="24"/>
          <w:u w:val="single"/>
        </w:rPr>
        <w:t xml:space="preserve">苏州市相城区人民政府漕湖街道办事处</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w:t>
      </w:r>
      <w:r>
        <w:rPr>
          <w:rFonts w:ascii="SimSun" w:hAnsi="SimSun" w:eastAsia="SimSun" w:cs="SimSun"/>
          <w:color w:val="000000"/>
          <w:sz w:val="24"/>
          <w:u w:val="single"/>
        </w:rPr>
        <w:t xml:space="preserve">                                   </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一、双方的责任</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1.1应严格遵守国家关于建设工程的有关法律、法规，相关政策，以及廉政建设的各项规定。</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1.2严格执行建设工程合同文件，自觉按合同办事。</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1.3各项活动必须坚持公开、公平、公正、诚信、透明的原则（除法律法规另有规定者外），不得为获取不正当的利益，损害国家、集体和对方利益，不得违反建设工程管理的规章制度。</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1.4发现对方在业务活动中有违规、违纪、违法行为的，应及时提醒对方，情节严重的，应向其上级主管部门或纪检监察、司法等有关机关举报。</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二、发包人责任</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发包人的领导和从事该建设工程项目的工作人员，在工程建设的事前、事中、事后应遵守以下规定：</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2.1不得向承包人和相关单位索要或接受回扣、礼金、有价证券、贵重物品和好处费、感谢费等。</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2.2不得在承包人和相关单位报销任何应由发包人或个人支付的费用。</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2.3不得要求、暗示或接受承包人和相关单位为个人装修住房、婚丧嫁娶、配偶子女的工作安排以及出国（境）、旅游等提供方便。</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2.4不得参加有可能影响公正执行公务的承包人和相关单位的宴请、健身、娱乐等活动。</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2.5不得向承包人和相关单位介绍或为配偶、子女、亲属参与同发包人工程建设管理合同有关的业务活动；不得以任何理由要求承包人和相关单位使用某种产品、材料和设备。</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三、承包人责任</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应与发包人保持正常的业务交往，按照有关法律法规和程序开展业务工作，严格执行工程建设的有关方针、政策，执行工程建设强制性标准，并遵守以下规定：</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3.1不得以任何理由向发包人及其工作人员索要、接受或赠送礼金、有价证券、贵重物品及回扣、好处费、感谢费等。</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3.2不得以任何理由为发包人和相关单位报销应由对方或个人支付的费用。</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3.3不得接受或暗示为发包人、相关单位或个人装修住房、婚丧嫁娶、配偶子女的工作安排以及出国（境）、旅游等提供方便。</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3.4不得以任何理由为发包人、相关单位或个人组织有可能影响公正执行公务的宴请、健身、娱乐等活动。</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四、违约责任</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4.1发包人工作人员有违反本责任书第一、二条责任行为的，依据有关法律、法规给予处理；涉嫌犯罪的，移交司法机关追究刑事责任；给承包人单位造成经济损失的，应予以赔偿。</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4.2承包人工作人员有违反本责任书第一、三条责任行为的，依据有关法律法规处理；涉嫌犯罪的，移交司法机关追究刑事责任；给发包人单位造成经济损失的，应予以赔偿。</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4.3本责任书作为建设工程合同的组成部分，与建设工程合同具有同等法律效力。经双方签署后立即生效。</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五、责任书有效期</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本责任书的有效期为双方签署之日起至该工程项目竣工验收合格时止。</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六、责任书份数</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本责任书一式四份，发包人承包人各执二份，具有同等效力。</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发包人(公章)：             承包人(公章)：；</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组织机构代码：         组织机构代码：；</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邮政编码：邮政编码：；</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           法定代表人：；</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委托代理人：委托代理人：；</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电  话：；</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             开户银行：；</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账  号：；</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60" w:right="0" w:firstLine="422"/>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360" w:right="0" w:firstLine="422"/>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360" w:right="0" w:firstLine="422"/>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360" w:right="0" w:firstLine="422"/>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360" w:right="0" w:firstLine="422"/>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360" w:right="0" w:firstLine="422"/>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360" w:right="0" w:firstLine="422"/>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360" w:right="0" w:firstLine="422"/>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360" w:right="0" w:firstLine="422"/>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360" w:right="0" w:firstLine="422"/>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360" w:right="0" w:firstLine="422"/>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360" w:right="0" w:firstLine="422"/>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360" w:right="0" w:firstLine="422"/>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360" w:right="0" w:firstLine="422"/>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360" w:right="0" w:firstLine="422"/>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360" w:right="0" w:firstLine="422"/>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360" w:right="0" w:firstLine="422"/>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360" w:right="0" w:firstLine="422"/>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360" w:right="0" w:firstLine="422"/>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360" w:right="0" w:firstLine="422"/>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360" w:right="0" w:firstLine="422"/>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360" w:right="0" w:firstLine="422"/>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附件四：安全协议书</w:t>
      </w:r>
      <w:r/>
    </w:p>
    <w:p>
      <w:pPr>
        <w:ind w:left="360" w:right="0" w:firstLine="42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安全协议书</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rPr>
          <w:rFonts w:ascii="SimSun" w:hAnsi="SimSun" w:eastAsia="SimSun" w:cs="SimSun"/>
          <w:color w:val="000000"/>
          <w:sz w:val="24"/>
          <w:u w:val="single"/>
        </w:rPr>
        <w:t xml:space="preserve">苏州市相城区人民政府漕湖街道办事处 </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rPr>
          <w:rFonts w:ascii="SimSun" w:hAnsi="SimSun" w:eastAsia="SimSun" w:cs="SimSun"/>
          <w:color w:val="000000"/>
          <w:sz w:val="24"/>
          <w:u w:val="single"/>
        </w:rPr>
        <w:t xml:space="preserve">                                 </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为贯彻“安全第一，预防为主”方针，明确双方的安全责任，确保施工中人身、各类管线和施工设备安全，根据国家有关法律法规，经双方协商一致签订本协议。</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第一条 工程名称：</w:t>
      </w:r>
      <w:r>
        <w:rPr>
          <w:rFonts w:ascii="SimSun" w:hAnsi="SimSun" w:eastAsia="SimSun" w:cs="SimSun"/>
          <w:color w:val="000000"/>
          <w:sz w:val="24"/>
          <w:u w:val="single"/>
        </w:rPr>
        <w:t xml:space="preserve">芮嘉河整治工程</w:t>
      </w:r>
      <w:r>
        <w:rPr>
          <w:rFonts w:ascii="SimSun" w:hAnsi="SimSun" w:eastAsia="SimSun" w:cs="SimSun"/>
          <w:color w:val="000000"/>
          <w:sz w:val="24"/>
        </w:rPr>
        <w:t xml:space="preserve"> </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第二条 施工地址：</w:t>
      </w:r>
      <w:r>
        <w:rPr>
          <w:rFonts w:ascii="SimSun" w:hAnsi="SimSun" w:eastAsia="SimSun" w:cs="SimSun"/>
          <w:color w:val="000000"/>
          <w:sz w:val="24"/>
          <w:u w:val="single"/>
        </w:rPr>
        <w:t xml:space="preserve">苏州市相城区漕湖街道 </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第三条 甲方安全责任</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甲方应要求乙方制定施工安全措施，在开始施工前报甲方备案。</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甲方有协助乙方搞好安全生产、安全管理以及督促检查的义务。甲方有权检查督促乙方执行有关安全生产方面的工作规定，对乙方不符合安全文明施工的行为进行制止、纠正并发出安全整改通知书，直至清退出场。</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甲方指派总监理工程师</w:t>
      </w:r>
      <w:r>
        <w:rPr>
          <w:rFonts w:ascii="SimSun" w:hAnsi="SimSun" w:eastAsia="SimSun" w:cs="SimSun"/>
          <w:color w:val="000000"/>
          <w:sz w:val="24"/>
          <w:u w:val="single"/>
        </w:rPr>
        <w:t xml:space="preserve">         </w:t>
      </w:r>
      <w:r>
        <w:rPr>
          <w:rFonts w:ascii="SimSun" w:hAnsi="SimSun" w:eastAsia="SimSun" w:cs="SimSun"/>
          <w:color w:val="000000"/>
          <w:sz w:val="24"/>
        </w:rPr>
        <w:t xml:space="preserve">负责与乙方联系安全生产方面的工作。</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乙方在施工中发生的人身、各类管线事故，甲方有责任负责调查、统计上报。乙方在施工中如发生国务院《特别重大事故调查程序暂行规定》所规定的特大事故，甲方有权督促乙方立即通知当地政府和公安部门，要求派人保护现场；并有权要求乙方提供事故调查书面结论及处理意见。</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甲方不得要求乙方违反安全管理规定进行施工。因甲方原因导致的事故由甲方承担责任。</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发生以下情况造成经济赔偿责任及其它责任的由乙方承担：</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人身伤亡事故；发生施工机械、生产主设备严重损坏事故；</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发生各类管线损害事故；</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发生违章作业、冒险作业不听劝告的。</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第四条 乙方安全责任</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乙方作为工程项目的承包单位，对工程施工过程中发生的人身伤害、设备损坏事故承担安全责任。乙方应切实履行以下安全责任：</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乙方必须贯彻执行国家有关安全生产的法律法规，必须制定相应的安全管理制度。</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乙方必须严格执行安全生产相关操作规程，对涉及工程施工场地内各类管线的安全运营负有保护责任。</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现场施工应遵守国家和地方关于劳动安全，劳务用工法律法规及规章制度，保证其用工的合法性。乙方必须按国家有关规定，为施工人员进行人身保险，配备合格的劳动防护用品、安全用具。</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施工期间，乙方应设有专职安监人员。乙方指派项目经理</w:t>
      </w:r>
      <w:r>
        <w:rPr>
          <w:rFonts w:ascii="SimSun" w:hAnsi="SimSun" w:eastAsia="SimSun" w:cs="SimSun"/>
          <w:color w:val="000000"/>
          <w:sz w:val="24"/>
          <w:u w:val="single"/>
        </w:rPr>
        <w:t xml:space="preserve">         </w:t>
      </w:r>
      <w:r>
        <w:rPr>
          <w:rFonts w:ascii="SimSun" w:hAnsi="SimSun" w:eastAsia="SimSun" w:cs="SimSun"/>
          <w:color w:val="000000"/>
          <w:sz w:val="24"/>
        </w:rPr>
        <w:t xml:space="preserve">作为安全工作联系人。</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乙方一切施工活动，必须编制安全施工措施，施工前对全体施工人员进行全面的安全技术交底。</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开工前，乙方应组织全体施工人员进行安全教育，对施工区域、作业环境作安全技术交底，特种作业人员必须有有关部门核发的合格有效的上岗资格证书。</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乙方施工过程中应做到工完、料尽、场地清，确保安全文明施工。</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乙方必须接受甲方及甲方委托的监理单位的监督、检查，对甲方提出的安全整改意见必须及时整改。</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乙方施工过程中发生人生伤亡、设备事故或危及生产运行的不安全情况，应立即报告甲方，并积极配合调查。</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乙方应执行国务院《特别重大事故调查程序暂行规定》、《企业职工伤亡事故报告和处理规定》。对人员在施工中发生的人身伤亡事故，还必须立即用电话、电传或电报等向事故所在地的政府安全管理部门、公安部门报告，按规定组织调查处理，并由乙方统计上报；如发生国务院《特别重大事故调查程序暂时规定》所规定的特大事故，还应立即通知当地政府、公安部门，并要求派人保护现场。</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乙方应将事故调查组的事故调查报告及乙方事故处理意见提交甲方备案。</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甲乙双方联系方式及响应时间：甲乙双方应以工作联系单、传真、电传等书面形式送达对方。双方在接到对方的书面联系时，应于4 小时内予以响应。</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第五条 施工安全违约金</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若施工过程中发生下列有乙方责任的安全事故，乙方除承担相应的经济赔偿责任及其它法律责任外，并因此给甲方增加额外工作的，甲方有权扣除乙方应得工程款3%以内的安全违约金：</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发生人身死亡事故、各类管线损坏重大事故，扣除应得工程款3%的安全违约金；</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发生人身重伤事故、各类管线损坏事故，扣除应得工程款1%的安全违约金。</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第六条 违约责任</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由于甲方或乙方责任造成对方或第三方的人身伤害、设备损坏等财产损失，由责任方承担相应责任，并赔偿对方或第三方因此造成的全部损失。</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乙方未设置安监人员；未能正确、全面执行安全技术措施、施工组织设计；施工人员未掌握本工程项目特点及施工安全措施；用于本工程项目的施工机械、工器具及安全防护用品不满足施工需要，甲方有权要求乙方立即停工整改，由此引起的后果及损失由乙方承担。</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乙方对甲方提出的安全整改意见不及时整改的，每逾期一天，乙方按2000 元/天承担违约责任。</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施工过程中发生人身伤亡、各类管线损坏和设备事故有隐瞒行为的，除接受政府有关部门处理外，过错方应承担1 万元~5 万元/次的违约责任。</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第七条 本协议执行过程中，如发生争议，由双方协商、调解解决；若经协商、调解不能解决争议的，任何一方可以向工程所在地人民法院提起诉讼。</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第八条 本协议有效期限：自年 月日起至全部工程完工后经交工验收合格，以及保修期满有发包人发给保修终止证书后失效。</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第九条 本协议一式四份，甲乙双方各执两份。</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第十条 本协议于年月日签订于，双方签字盖章后生效。</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 </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p>
      <w:pPr>
        <w:ind w:left="78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或（签字）</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其委托代理人：</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乙方：（盖章） </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或（签字）</w:t>
      </w:r>
      <w:r/>
    </w:p>
    <w:p>
      <w:pPr>
        <w:ind w:left="360" w:right="0" w:firstLine="42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其委托代理人：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765"/>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u w:val="none"/>
        </w:rPr>
        <w:t xml:space="preserve">第六章评审办法</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一、评审办法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经磋商确定最终采购需求和提交最后报价的供应商后，由磋商小组采用综合评分法对提交最后报价的供应商的响应文件和最后报价进行综合评分。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2、综合评分法是指响应文件满足磋商文件全部实质性要求且按评审因素的量化指标评审综合得分最高的供应商为成交候选供应商的评审方法。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3、评审时，磋商小组各成员应当独立对每个有效响应的文件进行评价、打分，然后汇总每个供应商每项评分因素的得分。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4、综合评审得分相同的，按照最后报价由低到高的顺序推荐。综合评审得分且最后报价相同的，则由磋商采购单位组织以抽签方式确定成交候选人。</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二、评分标准：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（一）价格得分（30分）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第一步：无效投标报价的磋商响应文件不得成交。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第二步：价格分采用低价优先法计算，即满足采购文件要求且投标价格最低的投标报价为评标基准价，其价格分为满分。其他响应供应商的价格分统一按照下列公式计算：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投标报价得分=（磋商基准价/最后磋商报价）*价格权值（30%）*100，小数点后保留两位。</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（二）施工组织设计（52分)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1、总体概述(7分)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工程概述、总体安排、施工部署及施工段划分等科学合理、规范全面、高效便捷、实施简单、针对性强的得7分；总体概述科学性、规范性、针对性等欠缺的得4分；有涉及但不全面的得1分。不提供不得分。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2、施工总进度计划(7分)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本工程施工进度计划的描述，以及为完成该计划所定措施科学合理、规范全面、高效便捷、实施简单、针对性强的得7分；总进度计划科学性欠缺、规范性、针对性欠缺的得4分；有涉及但不全面的得1分。不提供不得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3、分部、分项工程的施工方案(7分)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该工程分部分项工程的施工方案、具体施工技术措施科学合理、规范全面、高效便捷、实施简单、针对性强的得7分；方案科学性欠缺、规范性、针对性欠缺的得4分；有涉及但不全面的得1分。不提供不得分。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4、安全文明施工措施(7分)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文明施工、施工现场扬尘污染防治措施及环境保护方面的措施科学合理、规范全面、高效便捷、实施简单、针对性强的得7分；方案科学性欠缺、规范性、针对性欠缺的得4分；有涉及但不全面的得1分。不提供不得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5、项目总体实施方案及重难点分析，包括但不仅限于施工整体部署、专项方案、施工流程、芮嘉河环境熟悉情况分析、重难点分析及对应解决措施（7分）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全面详尽、流程合理可行、重难点分析针对性强、措施高效的得7分；方案说明全面、流程合理、重难点分析针对性较强、措施较得力得4分；方案不够全面详尽，流程合理性较差、重难点分析基本符合项目情况、措施尚可的得1分；不提供不得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针对本项目投入的设备、工器具配置及使用情况，包含但不限于设备及工器具的配备数量、设备和工器具的使用及保养，设备及工器具的停放及堆放注意事项，大型机械设备进退场方案，设备及工器具的操作规范及安全使用措施等（7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配备齐全，方案详细合理，规范科学得7分；配备较为齐全，方案较合理、可操作得4分；有涉及但不全面的得1分。不提供不得分。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7、垃圾清运方案(7分)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方案科学合理、规范全面、便捷有效、针对性强的得7分；方案科学性欠缺、规范性、针对性欠缺的得4分；有涉及但不全面的得1分。不提供不得分。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8、后期保修方案（3分）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提出的保修方案，阐述明确，条理清晰，具有详细方案内容的得3分；提出的养护方案，阐述清楚，条理比较清晰的得2分：提出的保修方案，阐述不清晰，条理一般，方案措施不完善的得1分。不提供不得分。</w:t>
      </w:r>
      <w:r/>
    </w:p>
    <w:p>
      <w:pPr>
        <w:numPr>
          <w:ilvl w:val="0"/>
          <w:numId w:val="2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响应单位综合评价（18分）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拟派项目经理具有水利工程类高级及以上职称得3分，中级职称及以下的得1分，其余不得分，本项最高得3分。需提供职称证书及本单位为其正常缴纳近三个月的社保证明文件扫描件，未提供或提供不全不得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拟派项目管理人员中（不含项目经理）具备水利工程类中级职称及以上的，每提供一名得2分；具备水利工程类初级职称的，每提供一名得0.5分，本项最高4分。同一人员不重复计分，按最高职称计取。提供以上人员证书及本单位为其正常缴纳近三个月社保证明文件扫描件，不提供相关证明不得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单位具有有效期内的质量管理体系认证、环境管理体系认证、职业健康管理体系认证（3分），每提供一项得1分，最高3分。响应文件中提供证书扫描件，并提供中国国家认证认可监督管理委员会官网http://cx.cnca.cn/证书查询页面截图（须体现查询日期为采购公告之后），不按要求提供或提供不全的不得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响应单位自2023年1月1日至今（以竣工验收时间为准）承担过与本项目相关的类似项目的有一个得2分，最高8分。提供施工合同扫描件、完竣工验收证明扫描件、对应的任一期的发票扫描件，不提供或提供不全的不得分。</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502"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1、报价超过预算价或最高限价的将不进入综合评审程序，也不得标。</w:t>
      </w:r>
      <w:r/>
    </w:p>
    <w:p>
      <w:pPr>
        <w:ind w:left="502"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2、针对评分标准中评分的每一条，响应供应商均应提供相关资料并作出相应说明供评委评判，不提供相关资料的视为不具备该项得分的条件。</w:t>
      </w:r>
      <w:r/>
    </w:p>
    <w:p>
      <w:pPr>
        <w:ind w:left="502"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3、付款步骤、交付完成限期如有负偏离的为无效标。</w:t>
      </w:r>
      <w:r/>
    </w:p>
    <w:p>
      <w:pPr>
        <w:ind w:left="502"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4、所有扫描件必须字迹清晰可见，字迹不清晰不得分。扫描件：指原件的各种彩色复制件，包括扫描、照片等。</w:t>
      </w:r>
      <w:r/>
    </w:p>
    <w:p>
      <w:pPr>
        <w:ind w:left="0" w:right="920" w:firstLine="0"/>
        <w:jc w:val="right"/>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（全文完）</w:t>
      </w:r>
      <w:r/>
    </w:p>
    <w:p>
      <w:r/>
      <w:r/>
    </w:p>
    <w:sectPr>
      <w:headerReference w:type="default" r:id="rId9"/>
      <w:footerReference w:type="default" r:id="rId10"/>
      <w:footerReference w:type="first" r:id="rId11"/>
      <w:footnotePr/>
      <w:endnotePr/>
      <w:type w:val="nextPage"/>
      <w:pgSz w:w="11906" w:h="16838" w:orient="portrait"/>
      <w:pgMar w:top="1440" w:right="1417" w:bottom="1440" w:left="1417" w:header="794" w:footer="675"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KaiTi">
    <w:panose1 w:val="02010609060101010101"/>
  </w:font>
  <w:font w:name="Symbol">
    <w:panose1 w:val="05050102010706020507"/>
  </w:font>
  <w:font w:name="Wingdings">
    <w:panose1 w:val="05000000000000000000"/>
  </w:font>
  <w:font w:name="等线">
    <w:panose1 w:val="02010600030101010101"/>
  </w:font>
  <w:font w:name="华文细黑">
    <w:panose1 w:val="02010600040101010101"/>
  </w:font>
  <w:font w:name="方正书宋简体">
    <w:panose1 w:val="020B0503020202020204"/>
  </w:font>
  <w:font w:name="Courier New">
    <w:panose1 w:val="02070309020205020404"/>
  </w:font>
  <w:font w:name="方正仿宋简体">
    <w:panose1 w:val="020B0503020202020204"/>
  </w:font>
  <w:font w:name="Tahoma">
    <w:panose1 w:val="020B0604030504040204"/>
  </w:font>
  <w:font w:name="Cambria">
    <w:panose1 w:val="02040503050406030204"/>
  </w:font>
  <w:font w:name="方正大黑简体">
    <w:panose1 w:val="020B0503020202020204"/>
  </w:font>
  <w:font w:name="Calibri">
    <w:panose1 w:val="020F0502020204030204"/>
  </w:font>
  <w:font w:name="Verdana">
    <w:panose1 w:val="020B0604030504040204"/>
  </w:font>
  <w:font w:name="仿宋_GB2312">
    <w:panose1 w:val="02010609060101010101"/>
  </w:font>
  <w:font w:name="黑体">
    <w:panose1 w:val="02010609060101010101"/>
  </w:font>
  <w:font w:name="Tms Rmn">
    <w:panose1 w:val="020B0503020202020204"/>
  </w:font>
  <w:font w:name="楷体_GB2312">
    <w:panose1 w:val="02010609060101010101"/>
  </w:font>
  <w:font w:name="Arial Unicode MS">
    <w:panose1 w:val="020B0604020202020204"/>
  </w:font>
  <w:font w:name="Arial">
    <w:panose1 w:val="020B0604020202020204"/>
  </w:font>
  <w:font w:name="创艺简仿宋">
    <w:panose1 w:val="020B0503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0"/>
                            <w:tabs>
                              <w:tab w:val="clear" w:pos="4153" w:leader="none"/>
                              <w:tab w:val="clear" w:pos="8306" w:leader="none"/>
                            </w:tabs>
                          </w:pPr>
                          <w:r>
                            <w:fldChar w:fldCharType="begin"/>
                          </w:r>
                          <w:r>
                            <w:instrText xml:space="preserve"> PAGE  \* MERGEFORMAT </w:instrText>
                          </w:r>
                          <w:r>
                            <w:fldChar w:fldCharType="separate"/>
                          </w:r>
                          <w:r>
                            <w:t xml:space="preserve">68</w:t>
                          </w:r>
                          <w:r>
                            <w:fldChar w:fldCharType="end"/>
                          </w:r>
                          <w:r/>
                        </w:p>
                        <w:p>
                          <w:pPr>
                            <w:pStyle w:val="934"/>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0"/>
                      <w:tabs>
                        <w:tab w:val="clear" w:pos="4153" w:leader="none"/>
                        <w:tab w:val="clear" w:pos="8306" w:leader="none"/>
                      </w:tabs>
                    </w:pPr>
                    <w:r>
                      <w:fldChar w:fldCharType="begin"/>
                    </w:r>
                    <w:r>
                      <w:instrText xml:space="preserve"> PAGE  \* MERGEFORMAT </w:instrText>
                    </w:r>
                    <w:r>
                      <w:fldChar w:fldCharType="separate"/>
                    </w:r>
                    <w:r>
                      <w:t xml:space="preserve">68</w:t>
                    </w:r>
                    <w:r>
                      <w:fldChar w:fldCharType="end"/>
                    </w:r>
                    <w:r/>
                  </w:p>
                  <w:p>
                    <w:pPr>
                      <w:pStyle w:val="93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ind w:right="360" w:firstLine="34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4"/>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left"/>
      <w:tabs>
        <w:tab w:val="center" w:pos="4153" w:leader="none"/>
        <w:tab w:val="right" w:pos="8306" w:leader="none"/>
      </w:tabs>
      <w:rPr>
        <w:rFonts w:ascii="宋体" w:hAnsi="宋体" w:eastAsia="宋体"/>
      </w:rPr>
    </w:pPr>
    <w:r>
      <w:rPr>
        <w:rFonts w:hint="eastAsia" w:ascii="宋体" w:hAnsi="宋体" w:eastAsia="宋体"/>
      </w:rPr>
      <w:t xml:space="preserve">竞争性磋商采购文件                                                   </w:t>
    </w:r>
    <w:r>
      <w:rPr>
        <w:rFonts w:hint="eastAsia" w:ascii="宋体" w:hAnsi="宋体" w:eastAsia="宋体"/>
        <w:lang w:eastAsia="zh-CN"/>
      </w:rPr>
      <w:t xml:space="preserve">JSZC-320591-PMJS-C2024-0042</w:t>
    </w:r>
    <w:r>
      <w:rPr>
        <w:rFonts w:hint="eastAsia" w:ascii="宋体" w:hAnsi="宋体" w:eastAsia="宋体"/>
      </w:rPr>
      <w:t xml:space="preserve">                                               </w:t>
    </w:r>
    <w:r>
      <w:rPr>
        <w:rFonts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93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934"/>
        <w:ind w:left="1050" w:hanging="420"/>
      </w:pPr>
    </w:lvl>
    <w:lvl w:ilvl="1">
      <w:start w:val="1"/>
      <w:numFmt w:val="lowerLetter"/>
      <w:isLgl w:val="false"/>
      <w:suff w:val="tab"/>
      <w:lvlText w:val="%2)"/>
      <w:lvlJc w:val="left"/>
      <w:pPr>
        <w:pStyle w:val="934"/>
        <w:ind w:left="1510" w:hanging="440"/>
      </w:pPr>
    </w:lvl>
    <w:lvl w:ilvl="2">
      <w:start w:val="1"/>
      <w:numFmt w:val="lowerRoman"/>
      <w:isLgl w:val="false"/>
      <w:suff w:val="tab"/>
      <w:lvlText w:val="%3."/>
      <w:lvlJc w:val="right"/>
      <w:pPr>
        <w:pStyle w:val="934"/>
        <w:ind w:left="1950" w:hanging="440"/>
      </w:pPr>
    </w:lvl>
    <w:lvl w:ilvl="3">
      <w:start w:val="1"/>
      <w:numFmt w:val="decimal"/>
      <w:isLgl w:val="false"/>
      <w:suff w:val="tab"/>
      <w:lvlText w:val="%4."/>
      <w:lvlJc w:val="left"/>
      <w:pPr>
        <w:pStyle w:val="934"/>
        <w:ind w:left="2390" w:hanging="440"/>
      </w:pPr>
    </w:lvl>
    <w:lvl w:ilvl="4">
      <w:start w:val="1"/>
      <w:numFmt w:val="lowerLetter"/>
      <w:isLgl w:val="false"/>
      <w:suff w:val="tab"/>
      <w:lvlText w:val="%5)"/>
      <w:lvlJc w:val="left"/>
      <w:pPr>
        <w:pStyle w:val="934"/>
        <w:ind w:left="2830" w:hanging="440"/>
      </w:pPr>
    </w:lvl>
    <w:lvl w:ilvl="5">
      <w:start w:val="1"/>
      <w:numFmt w:val="lowerRoman"/>
      <w:isLgl w:val="false"/>
      <w:suff w:val="tab"/>
      <w:lvlText w:val="%6."/>
      <w:lvlJc w:val="right"/>
      <w:pPr>
        <w:pStyle w:val="934"/>
        <w:ind w:left="3270" w:hanging="440"/>
      </w:pPr>
    </w:lvl>
    <w:lvl w:ilvl="6">
      <w:start w:val="1"/>
      <w:numFmt w:val="decimal"/>
      <w:isLgl w:val="false"/>
      <w:suff w:val="tab"/>
      <w:lvlText w:val="%7."/>
      <w:lvlJc w:val="left"/>
      <w:pPr>
        <w:pStyle w:val="934"/>
        <w:ind w:left="3710" w:hanging="440"/>
      </w:pPr>
    </w:lvl>
    <w:lvl w:ilvl="7">
      <w:start w:val="1"/>
      <w:numFmt w:val="lowerLetter"/>
      <w:isLgl w:val="false"/>
      <w:suff w:val="tab"/>
      <w:lvlText w:val="%8)"/>
      <w:lvlJc w:val="left"/>
      <w:pPr>
        <w:pStyle w:val="934"/>
        <w:ind w:left="4150" w:hanging="440"/>
      </w:pPr>
    </w:lvl>
    <w:lvl w:ilvl="8">
      <w:start w:val="1"/>
      <w:numFmt w:val="lowerRoman"/>
      <w:isLgl w:val="false"/>
      <w:suff w:val="tab"/>
      <w:lvlText w:val="%9."/>
      <w:lvlJc w:val="right"/>
      <w:pPr>
        <w:pStyle w:val="934"/>
        <w:ind w:left="4590" w:hanging="440"/>
      </w:pPr>
    </w:lvl>
  </w:abstractNum>
  <w:abstractNum w:abstractNumId="2">
    <w:multiLevelType w:val="hybridMultilevel"/>
    <w:lvl w:ilvl="0">
      <w:start w:val="1"/>
      <w:numFmt w:val="bullet"/>
      <w:pStyle w:val="962"/>
      <w:isLgl w:val="false"/>
      <w:suff w:val="tab"/>
      <w:lvlText w:val=""/>
      <w:lvlJc w:val="left"/>
      <w:pPr>
        <w:pStyle w:val="934"/>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pStyle w:val="93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nothing"/>
      <w:lvlText w:val="（%1）"/>
      <w:lvlJc w:val="left"/>
      <w:pPr>
        <w:pStyle w:val="9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93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decimal"/>
      <w:isLgl w:val="false"/>
      <w:suff w:val="nothing"/>
      <w:lvlText w:val="%1、"/>
      <w:lvlJc w:val="left"/>
      <w:pPr>
        <w:pStyle w:val="9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pStyle w:val="934"/>
        <w:tabs>
          <w:tab w:val="num" w:pos="312" w:leader="none"/>
        </w:tabs>
      </w:pPr>
      <w:rPr>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japaneseCounting"/>
      <w:isLgl w:val="false"/>
      <w:suff w:val="tab"/>
      <w:lvlText w:val="%1、"/>
      <w:lvlJc w:val="left"/>
      <w:pPr>
        <w:pStyle w:val="934"/>
        <w:ind w:left="1202" w:hanging="720"/>
      </w:pPr>
    </w:lvl>
    <w:lvl w:ilvl="1">
      <w:start w:val="1"/>
      <w:numFmt w:val="lowerLetter"/>
      <w:isLgl w:val="false"/>
      <w:suff w:val="tab"/>
      <w:lvlText w:val="%2)"/>
      <w:lvlJc w:val="left"/>
      <w:pPr>
        <w:pStyle w:val="934"/>
        <w:ind w:left="1322" w:hanging="420"/>
      </w:pPr>
    </w:lvl>
    <w:lvl w:ilvl="2">
      <w:start w:val="1"/>
      <w:numFmt w:val="lowerRoman"/>
      <w:isLgl w:val="false"/>
      <w:suff w:val="tab"/>
      <w:lvlText w:val="%3."/>
      <w:lvlJc w:val="right"/>
      <w:pPr>
        <w:pStyle w:val="934"/>
        <w:ind w:left="1742" w:hanging="420"/>
      </w:pPr>
    </w:lvl>
    <w:lvl w:ilvl="3">
      <w:start w:val="1"/>
      <w:numFmt w:val="decimal"/>
      <w:isLgl w:val="false"/>
      <w:suff w:val="tab"/>
      <w:lvlText w:val="%4."/>
      <w:lvlJc w:val="left"/>
      <w:pPr>
        <w:pStyle w:val="934"/>
        <w:ind w:left="2162" w:hanging="420"/>
      </w:pPr>
    </w:lvl>
    <w:lvl w:ilvl="4">
      <w:start w:val="1"/>
      <w:numFmt w:val="lowerLetter"/>
      <w:isLgl w:val="false"/>
      <w:suff w:val="tab"/>
      <w:lvlText w:val="%5)"/>
      <w:lvlJc w:val="left"/>
      <w:pPr>
        <w:pStyle w:val="934"/>
        <w:ind w:left="2582" w:hanging="420"/>
      </w:pPr>
    </w:lvl>
    <w:lvl w:ilvl="5">
      <w:start w:val="1"/>
      <w:numFmt w:val="lowerRoman"/>
      <w:isLgl w:val="false"/>
      <w:suff w:val="tab"/>
      <w:lvlText w:val="%6."/>
      <w:lvlJc w:val="right"/>
      <w:pPr>
        <w:pStyle w:val="934"/>
        <w:ind w:left="3002" w:hanging="420"/>
      </w:pPr>
    </w:lvl>
    <w:lvl w:ilvl="6">
      <w:start w:val="1"/>
      <w:numFmt w:val="decimal"/>
      <w:isLgl w:val="false"/>
      <w:suff w:val="tab"/>
      <w:lvlText w:val="%7."/>
      <w:lvlJc w:val="left"/>
      <w:pPr>
        <w:pStyle w:val="934"/>
        <w:ind w:left="3422" w:hanging="420"/>
      </w:pPr>
    </w:lvl>
    <w:lvl w:ilvl="7">
      <w:start w:val="1"/>
      <w:numFmt w:val="lowerLetter"/>
      <w:isLgl w:val="false"/>
      <w:suff w:val="tab"/>
      <w:lvlText w:val="%8)"/>
      <w:lvlJc w:val="left"/>
      <w:pPr>
        <w:pStyle w:val="934"/>
        <w:ind w:left="3842" w:hanging="420"/>
      </w:pPr>
    </w:lvl>
    <w:lvl w:ilvl="8">
      <w:start w:val="1"/>
      <w:numFmt w:val="lowerRoman"/>
      <w:isLgl w:val="false"/>
      <w:suff w:val="tab"/>
      <w:lvlText w:val="%9."/>
      <w:lvlJc w:val="right"/>
      <w:pPr>
        <w:pStyle w:val="934"/>
        <w:ind w:left="4262" w:hanging="420"/>
      </w:pPr>
    </w:lvl>
  </w:abstractNum>
  <w:abstractNum w:abstractNumId="9">
    <w:multiLevelType w:val="hybridMultilevel"/>
    <w:lvl w:ilvl="0">
      <w:start w:val="1"/>
      <w:numFmt w:val="decimal"/>
      <w:isLgl w:val="false"/>
      <w:suff w:val="nothing"/>
      <w:lvlText w:val="%1、"/>
      <w:lvlJc w:val="left"/>
      <w:pPr>
        <w:pStyle w:val="934"/>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
      <w:isLgl w:val="false"/>
      <w:suff w:val="tab"/>
      <w:lvlText w:val="%1"/>
      <w:lvlJc w:val="left"/>
      <w:pPr>
        <w:pStyle w:val="934"/>
        <w:ind w:left="1240" w:hanging="360"/>
        <w:tabs>
          <w:tab w:val="num" w:pos="1240" w:leader="none"/>
        </w:tabs>
      </w:pPr>
    </w:lvl>
    <w:lvl w:ilvl="1">
      <w:start w:val="1"/>
      <w:numFmt w:val="lowerLetter"/>
      <w:isLgl w:val="false"/>
      <w:suff w:val="tab"/>
      <w:lvlText w:val="%2)"/>
      <w:lvlJc w:val="left"/>
      <w:pPr>
        <w:pStyle w:val="934"/>
        <w:ind w:left="1720" w:hanging="420"/>
        <w:tabs>
          <w:tab w:val="num" w:pos="1720" w:leader="none"/>
        </w:tabs>
      </w:pPr>
    </w:lvl>
    <w:lvl w:ilvl="2">
      <w:start w:val="1"/>
      <w:numFmt w:val="lowerRoman"/>
      <w:isLgl w:val="false"/>
      <w:suff w:val="tab"/>
      <w:lvlText w:val="%3."/>
      <w:lvlJc w:val="right"/>
      <w:pPr>
        <w:pStyle w:val="934"/>
        <w:ind w:left="2140" w:hanging="420"/>
        <w:tabs>
          <w:tab w:val="num" w:pos="2140" w:leader="none"/>
        </w:tabs>
      </w:pPr>
    </w:lvl>
    <w:lvl w:ilvl="3">
      <w:start w:val="1"/>
      <w:numFmt w:val="decimal"/>
      <w:pStyle w:val="1018"/>
      <w:isLgl w:val="false"/>
      <w:suff w:val="tab"/>
      <w:lvlText w:val="%4."/>
      <w:lvlJc w:val="left"/>
      <w:pPr>
        <w:pStyle w:val="934"/>
        <w:ind w:left="2560" w:hanging="420"/>
        <w:tabs>
          <w:tab w:val="num" w:pos="2560" w:leader="none"/>
        </w:tabs>
      </w:pPr>
    </w:lvl>
    <w:lvl w:ilvl="4">
      <w:start w:val="1"/>
      <w:numFmt w:val="lowerLetter"/>
      <w:isLgl w:val="false"/>
      <w:suff w:val="tab"/>
      <w:lvlText w:val="%5)"/>
      <w:lvlJc w:val="left"/>
      <w:pPr>
        <w:pStyle w:val="934"/>
        <w:ind w:left="2980" w:hanging="420"/>
        <w:tabs>
          <w:tab w:val="num" w:pos="2980" w:leader="none"/>
        </w:tabs>
      </w:pPr>
    </w:lvl>
    <w:lvl w:ilvl="5">
      <w:start w:val="1"/>
      <w:numFmt w:val="lowerRoman"/>
      <w:isLgl w:val="false"/>
      <w:suff w:val="tab"/>
      <w:lvlText w:val="%6."/>
      <w:lvlJc w:val="right"/>
      <w:pPr>
        <w:pStyle w:val="934"/>
        <w:ind w:left="3400" w:hanging="420"/>
        <w:tabs>
          <w:tab w:val="num" w:pos="3400" w:leader="none"/>
        </w:tabs>
      </w:pPr>
    </w:lvl>
    <w:lvl w:ilvl="6">
      <w:start w:val="1"/>
      <w:numFmt w:val="decimal"/>
      <w:isLgl w:val="false"/>
      <w:suff w:val="tab"/>
      <w:lvlText w:val="%7."/>
      <w:lvlJc w:val="left"/>
      <w:pPr>
        <w:pStyle w:val="934"/>
        <w:ind w:left="3820" w:hanging="420"/>
        <w:tabs>
          <w:tab w:val="num" w:pos="3820" w:leader="none"/>
        </w:tabs>
      </w:pPr>
    </w:lvl>
    <w:lvl w:ilvl="7">
      <w:start w:val="1"/>
      <w:numFmt w:val="lowerLetter"/>
      <w:isLgl w:val="false"/>
      <w:suff w:val="tab"/>
      <w:lvlText w:val="%8)"/>
      <w:lvlJc w:val="left"/>
      <w:pPr>
        <w:pStyle w:val="934"/>
        <w:ind w:left="4240" w:hanging="420"/>
        <w:tabs>
          <w:tab w:val="num" w:pos="4240" w:leader="none"/>
        </w:tabs>
      </w:pPr>
    </w:lvl>
    <w:lvl w:ilvl="8">
      <w:start w:val="1"/>
      <w:numFmt w:val="lowerRoman"/>
      <w:isLgl w:val="false"/>
      <w:suff w:val="tab"/>
      <w:lvlText w:val="%9."/>
      <w:lvlJc w:val="right"/>
      <w:pPr>
        <w:pStyle w:val="934"/>
        <w:ind w:left="4660" w:hanging="420"/>
        <w:tabs>
          <w:tab w:val="num" w:pos="4660" w:leader="none"/>
        </w:tabs>
      </w:pPr>
    </w:lvl>
  </w:abstractNum>
  <w:abstractNum w:abstractNumId="11">
    <w:multiLevelType w:val="hybridMultilevel"/>
    <w:lvl w:ilvl="0">
      <w:start w:val="1"/>
      <w:numFmt w:val="chineseCounting"/>
      <w:isLgl w:val="false"/>
      <w:suff w:val="nothing"/>
      <w:lvlText w:val="（%1）"/>
      <w:lvlJc w:val="left"/>
      <w:pPr>
        <w:pStyle w:val="934"/>
        <w:ind w:left="-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18"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1050" w:hanging="420"/>
      </w:pPr>
    </w:lvl>
    <w:lvl w:ilvl="1">
      <w:start w:val="1"/>
      <w:numFmt w:val="lowerLetter"/>
      <w:isLgl w:val="false"/>
      <w:suff w:val="tab"/>
      <w:lvlText w:val="%2)"/>
      <w:lvlJc w:val="left"/>
      <w:pPr>
        <w:ind w:left="1510" w:hanging="440"/>
      </w:pPr>
    </w:lvl>
    <w:lvl w:ilvl="2">
      <w:start w:val="1"/>
      <w:numFmt w:val="decimal"/>
      <w:isLgl w:val="false"/>
      <w:suff w:val="tab"/>
      <w:lvlText w:val="%3."/>
      <w:lvlJc w:val="right"/>
      <w:pPr>
        <w:ind w:left="1950" w:hanging="440"/>
      </w:pPr>
    </w:lvl>
    <w:lvl w:ilvl="3">
      <w:start w:val="1"/>
      <w:numFmt w:val="decimal"/>
      <w:isLgl w:val="false"/>
      <w:suff w:val="tab"/>
      <w:lvlText w:val="%4."/>
      <w:lvlJc w:val="left"/>
      <w:pPr>
        <w:ind w:left="2390" w:hanging="440"/>
      </w:pPr>
    </w:lvl>
    <w:lvl w:ilvl="4">
      <w:start w:val="1"/>
      <w:numFmt w:val="lowerLetter"/>
      <w:isLgl w:val="false"/>
      <w:suff w:val="tab"/>
      <w:lvlText w:val="%5)"/>
      <w:lvlJc w:val="left"/>
      <w:pPr>
        <w:ind w:left="2830" w:hanging="440"/>
      </w:pPr>
    </w:lvl>
    <w:lvl w:ilvl="5">
      <w:start w:val="1"/>
      <w:numFmt w:val="decimal"/>
      <w:isLgl w:val="false"/>
      <w:suff w:val="tab"/>
      <w:lvlText w:val="%6."/>
      <w:lvlJc w:val="right"/>
      <w:pPr>
        <w:ind w:left="3270" w:hanging="440"/>
      </w:pPr>
    </w:lvl>
    <w:lvl w:ilvl="6">
      <w:start w:val="1"/>
      <w:numFmt w:val="decimal"/>
      <w:isLgl w:val="false"/>
      <w:suff w:val="tab"/>
      <w:lvlText w:val="%7."/>
      <w:lvlJc w:val="left"/>
      <w:pPr>
        <w:ind w:left="3710" w:hanging="440"/>
      </w:pPr>
    </w:lvl>
    <w:lvl w:ilvl="7">
      <w:start w:val="1"/>
      <w:numFmt w:val="lowerLetter"/>
      <w:isLgl w:val="false"/>
      <w:suff w:val="tab"/>
      <w:lvlText w:val="%8)"/>
      <w:lvlJc w:val="left"/>
      <w:pPr>
        <w:ind w:left="4150" w:hanging="440"/>
      </w:pPr>
    </w:lvl>
    <w:lvl w:ilvl="8">
      <w:start w:val="1"/>
      <w:numFmt w:val="decimal"/>
      <w:isLgl w:val="false"/>
      <w:suff w:val="tab"/>
      <w:lvlText w:val="%9."/>
      <w:lvlJc w:val="right"/>
      <w:pPr>
        <w:ind w:left="4590" w:hanging="440"/>
      </w:pPr>
    </w:lvl>
  </w:abstractNum>
  <w:abstractNum w:abstractNumId="15">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4"/>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2"/>
      <w:numFmt w:val="decimal"/>
      <w:isLgl w:val="false"/>
      <w:suff w:val="tab"/>
      <w:lvlText w:val="%1、"/>
      <w:lvlJc w:val="left"/>
      <w:pPr>
        <w:ind w:left="1202" w:hanging="720"/>
      </w:pPr>
    </w:lvl>
    <w:lvl w:ilvl="1">
      <w:start w:val="1"/>
      <w:numFmt w:val="lowerLetter"/>
      <w:isLgl w:val="false"/>
      <w:suff w:val="tab"/>
      <w:lvlText w:val="%2)"/>
      <w:lvlJc w:val="left"/>
      <w:pPr>
        <w:ind w:left="1322" w:hanging="420"/>
      </w:pPr>
    </w:lvl>
    <w:lvl w:ilvl="2">
      <w:start w:val="1"/>
      <w:numFmt w:val="decimal"/>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decimal"/>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decimal"/>
      <w:isLgl w:val="false"/>
      <w:suff w:val="tab"/>
      <w:lvlText w:val="%9."/>
      <w:lvlJc w:val="right"/>
      <w:pPr>
        <w:ind w:left="4262" w:hanging="420"/>
      </w:pPr>
    </w:lvl>
  </w:abstractNum>
  <w:abstractNum w:abstractNumId="2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18"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1050" w:hanging="420"/>
      </w:pPr>
    </w:lvl>
    <w:lvl w:ilvl="1">
      <w:start w:val="1"/>
      <w:numFmt w:val="lowerLetter"/>
      <w:isLgl w:val="false"/>
      <w:suff w:val="tab"/>
      <w:lvlText w:val="%2)"/>
      <w:lvlJc w:val="left"/>
      <w:pPr>
        <w:ind w:left="1510" w:hanging="440"/>
      </w:pPr>
    </w:lvl>
    <w:lvl w:ilvl="2">
      <w:start w:val="1"/>
      <w:numFmt w:val="decimal"/>
      <w:isLgl w:val="false"/>
      <w:suff w:val="tab"/>
      <w:lvlText w:val="%3."/>
      <w:lvlJc w:val="right"/>
      <w:pPr>
        <w:ind w:left="1950" w:hanging="440"/>
      </w:pPr>
    </w:lvl>
    <w:lvl w:ilvl="3">
      <w:start w:val="1"/>
      <w:numFmt w:val="decimal"/>
      <w:isLgl w:val="false"/>
      <w:suff w:val="tab"/>
      <w:lvlText w:val="%4."/>
      <w:lvlJc w:val="left"/>
      <w:pPr>
        <w:ind w:left="2390" w:hanging="440"/>
      </w:pPr>
    </w:lvl>
    <w:lvl w:ilvl="4">
      <w:start w:val="1"/>
      <w:numFmt w:val="lowerLetter"/>
      <w:isLgl w:val="false"/>
      <w:suff w:val="tab"/>
      <w:lvlText w:val="%5)"/>
      <w:lvlJc w:val="left"/>
      <w:pPr>
        <w:ind w:left="2830" w:hanging="440"/>
      </w:pPr>
    </w:lvl>
    <w:lvl w:ilvl="5">
      <w:start w:val="1"/>
      <w:numFmt w:val="decimal"/>
      <w:isLgl w:val="false"/>
      <w:suff w:val="tab"/>
      <w:lvlText w:val="%6."/>
      <w:lvlJc w:val="right"/>
      <w:pPr>
        <w:ind w:left="3270" w:hanging="440"/>
      </w:pPr>
    </w:lvl>
    <w:lvl w:ilvl="6">
      <w:start w:val="1"/>
      <w:numFmt w:val="decimal"/>
      <w:isLgl w:val="false"/>
      <w:suff w:val="tab"/>
      <w:lvlText w:val="%7."/>
      <w:lvlJc w:val="left"/>
      <w:pPr>
        <w:ind w:left="3710" w:hanging="440"/>
      </w:pPr>
    </w:lvl>
    <w:lvl w:ilvl="7">
      <w:start w:val="1"/>
      <w:numFmt w:val="lowerLetter"/>
      <w:isLgl w:val="false"/>
      <w:suff w:val="tab"/>
      <w:lvlText w:val="%8)"/>
      <w:lvlJc w:val="left"/>
      <w:pPr>
        <w:ind w:left="4150" w:hanging="440"/>
      </w:pPr>
    </w:lvl>
    <w:lvl w:ilvl="8">
      <w:start w:val="1"/>
      <w:numFmt w:val="decimal"/>
      <w:isLgl w:val="false"/>
      <w:suff w:val="tab"/>
      <w:lvlText w:val="%9."/>
      <w:lvlJc w:val="right"/>
      <w:pPr>
        <w:ind w:left="4590" w:hanging="440"/>
      </w:pPr>
    </w:lvl>
  </w:abstractNum>
  <w:abstractNum w:abstractNumId="24">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4"/>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2"/>
      <w:numFmt w:val="decimal"/>
      <w:isLgl w:val="false"/>
      <w:suff w:val="tab"/>
      <w:lvlText w:val="%1、"/>
      <w:lvlJc w:val="left"/>
      <w:pPr>
        <w:ind w:left="1202" w:hanging="720"/>
      </w:pPr>
    </w:lvl>
    <w:lvl w:ilvl="1">
      <w:start w:val="1"/>
      <w:numFmt w:val="lowerLetter"/>
      <w:isLgl w:val="false"/>
      <w:suff w:val="tab"/>
      <w:lvlText w:val="%2)"/>
      <w:lvlJc w:val="left"/>
      <w:pPr>
        <w:ind w:left="1322" w:hanging="420"/>
      </w:pPr>
    </w:lvl>
    <w:lvl w:ilvl="2">
      <w:start w:val="1"/>
      <w:numFmt w:val="decimal"/>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decimal"/>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decimal"/>
      <w:isLgl w:val="false"/>
      <w:suff w:val="tab"/>
      <w:lvlText w:val="%9."/>
      <w:lvlJc w:val="right"/>
      <w:pPr>
        <w:ind w:left="4262" w:hanging="420"/>
      </w:pPr>
    </w:lvl>
  </w:abstractNum>
  <w:num w:numId="1">
    <w:abstractNumId w:val="2"/>
  </w:num>
  <w:num w:numId="2">
    <w:abstractNumId w:val="10"/>
  </w:num>
  <w:num w:numId="3">
    <w:abstractNumId w:val="7"/>
  </w:num>
  <w:num w:numId="4">
    <w:abstractNumId w:val="11"/>
    <w:lvlOverride w:ilvl="0">
      <w:startOverride w:val="1"/>
    </w:lvlOverride>
  </w:num>
  <w:num w:numId="5">
    <w:abstractNumId w:val="9"/>
    <w:lvlOverride w:ilvl="0">
      <w:startOverride w:val="1"/>
    </w:lvlOverride>
  </w:num>
  <w:num w:numId="6">
    <w:abstractNumId w:val="3"/>
  </w:num>
  <w:num w:numId="7">
    <w:abstractNumId w:val="4"/>
    <w:lvlOverride w:ilvl="0">
      <w:startOverride w:val="4"/>
    </w:lvlOverride>
  </w:num>
  <w:num w:numId="8">
    <w:abstractNumId w:val="5"/>
  </w:num>
  <w:num w:numId="9">
    <w:abstractNumId w:val="6"/>
  </w:num>
  <w:num w:numId="10">
    <w:abstractNumId w:val="0"/>
  </w:num>
  <w:num w:numId="11">
    <w:abstractNumId w:val="8"/>
  </w:num>
  <w:num w:numId="12">
    <w:abstractNumId w:val="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5">
    <w:name w:val="Heading 1"/>
    <w:basedOn w:val="934"/>
    <w:next w:val="934"/>
    <w:link w:val="1205"/>
    <w:uiPriority w:val="9"/>
    <w:qFormat/>
    <w:pPr>
      <w:keepLines/>
      <w:keepNext/>
      <w:spacing w:before="480" w:after="200"/>
      <w:outlineLvl w:val="0"/>
    </w:pPr>
    <w:rPr>
      <w:rFonts w:ascii="Arial" w:hAnsi="Arial" w:eastAsia="Arial" w:cs="Arial"/>
      <w:sz w:val="40"/>
      <w:szCs w:val="40"/>
    </w:rPr>
  </w:style>
  <w:style w:type="paragraph" w:styleId="766">
    <w:name w:val="Heading 2"/>
    <w:basedOn w:val="934"/>
    <w:next w:val="934"/>
    <w:link w:val="1153"/>
    <w:uiPriority w:val="9"/>
    <w:unhideWhenUsed/>
    <w:qFormat/>
    <w:pPr>
      <w:keepLines/>
      <w:keepNext/>
      <w:spacing w:before="360" w:after="200"/>
      <w:outlineLvl w:val="1"/>
    </w:pPr>
    <w:rPr>
      <w:rFonts w:ascii="Arial" w:hAnsi="Arial" w:eastAsia="Arial" w:cs="Arial"/>
      <w:sz w:val="34"/>
    </w:rPr>
  </w:style>
  <w:style w:type="paragraph" w:styleId="767">
    <w:name w:val="Heading 3"/>
    <w:basedOn w:val="934"/>
    <w:next w:val="934"/>
    <w:link w:val="1203"/>
    <w:uiPriority w:val="9"/>
    <w:unhideWhenUsed/>
    <w:qFormat/>
    <w:pPr>
      <w:keepLines/>
      <w:keepNext/>
      <w:spacing w:before="320" w:after="200"/>
      <w:outlineLvl w:val="2"/>
    </w:pPr>
    <w:rPr>
      <w:rFonts w:ascii="Arial" w:hAnsi="Arial" w:eastAsia="Arial" w:cs="Arial"/>
      <w:sz w:val="30"/>
      <w:szCs w:val="30"/>
    </w:rPr>
  </w:style>
  <w:style w:type="paragraph" w:styleId="768">
    <w:name w:val="Heading 4"/>
    <w:basedOn w:val="934"/>
    <w:next w:val="934"/>
    <w:link w:val="1149"/>
    <w:uiPriority w:val="9"/>
    <w:unhideWhenUsed/>
    <w:qFormat/>
    <w:pPr>
      <w:keepLines/>
      <w:keepNext/>
      <w:spacing w:before="320" w:after="200"/>
      <w:outlineLvl w:val="3"/>
    </w:pPr>
    <w:rPr>
      <w:rFonts w:ascii="Arial" w:hAnsi="Arial" w:eastAsia="Arial" w:cs="Arial"/>
      <w:b/>
      <w:bCs/>
      <w:sz w:val="26"/>
      <w:szCs w:val="26"/>
    </w:rPr>
  </w:style>
  <w:style w:type="paragraph" w:styleId="769">
    <w:name w:val="Heading 5"/>
    <w:basedOn w:val="934"/>
    <w:next w:val="934"/>
    <w:link w:val="1171"/>
    <w:uiPriority w:val="9"/>
    <w:unhideWhenUsed/>
    <w:qFormat/>
    <w:pPr>
      <w:keepLines/>
      <w:keepNext/>
      <w:spacing w:before="320" w:after="200"/>
      <w:outlineLvl w:val="4"/>
    </w:pPr>
    <w:rPr>
      <w:rFonts w:ascii="Arial" w:hAnsi="Arial" w:eastAsia="Arial" w:cs="Arial"/>
      <w:b/>
      <w:bCs/>
      <w:sz w:val="24"/>
      <w:szCs w:val="24"/>
    </w:rPr>
  </w:style>
  <w:style w:type="paragraph" w:styleId="770">
    <w:name w:val="Heading 6"/>
    <w:basedOn w:val="934"/>
    <w:next w:val="934"/>
    <w:link w:val="771"/>
    <w:uiPriority w:val="9"/>
    <w:unhideWhenUsed/>
    <w:qFormat/>
    <w:pPr>
      <w:keepLines/>
      <w:keepNext/>
      <w:spacing w:before="320" w:after="200"/>
      <w:outlineLvl w:val="5"/>
    </w:pPr>
    <w:rPr>
      <w:rFonts w:ascii="Arial" w:hAnsi="Arial" w:eastAsia="Arial" w:cs="Arial"/>
      <w:b/>
      <w:bCs/>
      <w:sz w:val="22"/>
      <w:szCs w:val="22"/>
    </w:rPr>
  </w:style>
  <w:style w:type="character" w:styleId="771">
    <w:name w:val="Heading 6 Char"/>
    <w:link w:val="770"/>
    <w:uiPriority w:val="9"/>
    <w:rPr>
      <w:rFonts w:ascii="Arial" w:hAnsi="Arial" w:eastAsia="Arial" w:cs="Arial"/>
      <w:b/>
      <w:bCs/>
      <w:sz w:val="22"/>
      <w:szCs w:val="22"/>
    </w:rPr>
  </w:style>
  <w:style w:type="paragraph" w:styleId="772">
    <w:name w:val="Heading 7"/>
    <w:basedOn w:val="934"/>
    <w:next w:val="934"/>
    <w:link w:val="773"/>
    <w:uiPriority w:val="9"/>
    <w:unhideWhenUsed/>
    <w:qFormat/>
    <w:pPr>
      <w:keepLines/>
      <w:keepNext/>
      <w:spacing w:before="320" w:after="200"/>
      <w:outlineLvl w:val="6"/>
    </w:pPr>
    <w:rPr>
      <w:rFonts w:ascii="Arial" w:hAnsi="Arial" w:eastAsia="Arial" w:cs="Arial"/>
      <w:b/>
      <w:bCs/>
      <w:i/>
      <w:iCs/>
      <w:sz w:val="22"/>
      <w:szCs w:val="22"/>
    </w:rPr>
  </w:style>
  <w:style w:type="character" w:styleId="773">
    <w:name w:val="Heading 7 Char"/>
    <w:link w:val="772"/>
    <w:uiPriority w:val="9"/>
    <w:rPr>
      <w:rFonts w:ascii="Arial" w:hAnsi="Arial" w:eastAsia="Arial" w:cs="Arial"/>
      <w:b/>
      <w:bCs/>
      <w:i/>
      <w:iCs/>
      <w:sz w:val="22"/>
      <w:szCs w:val="22"/>
    </w:rPr>
  </w:style>
  <w:style w:type="paragraph" w:styleId="774">
    <w:name w:val="Heading 8"/>
    <w:basedOn w:val="934"/>
    <w:next w:val="934"/>
    <w:link w:val="775"/>
    <w:uiPriority w:val="9"/>
    <w:unhideWhenUsed/>
    <w:qFormat/>
    <w:pPr>
      <w:keepLines/>
      <w:keepNext/>
      <w:spacing w:before="320" w:after="200"/>
      <w:outlineLvl w:val="7"/>
    </w:pPr>
    <w:rPr>
      <w:rFonts w:ascii="Arial" w:hAnsi="Arial" w:eastAsia="Arial" w:cs="Arial"/>
      <w:i/>
      <w:iCs/>
      <w:sz w:val="22"/>
      <w:szCs w:val="22"/>
    </w:rPr>
  </w:style>
  <w:style w:type="character" w:styleId="775">
    <w:name w:val="Heading 8 Char"/>
    <w:link w:val="774"/>
    <w:uiPriority w:val="9"/>
    <w:rPr>
      <w:rFonts w:ascii="Arial" w:hAnsi="Arial" w:eastAsia="Arial" w:cs="Arial"/>
      <w:i/>
      <w:iCs/>
      <w:sz w:val="22"/>
      <w:szCs w:val="22"/>
    </w:rPr>
  </w:style>
  <w:style w:type="paragraph" w:styleId="776">
    <w:name w:val="Heading 9"/>
    <w:basedOn w:val="934"/>
    <w:next w:val="934"/>
    <w:link w:val="777"/>
    <w:uiPriority w:val="9"/>
    <w:unhideWhenUsed/>
    <w:qFormat/>
    <w:pPr>
      <w:keepLines/>
      <w:keepNext/>
      <w:spacing w:before="320" w:after="200"/>
      <w:outlineLvl w:val="8"/>
    </w:pPr>
    <w:rPr>
      <w:rFonts w:ascii="Arial" w:hAnsi="Arial" w:eastAsia="Arial" w:cs="Arial"/>
      <w:i/>
      <w:iCs/>
      <w:sz w:val="21"/>
      <w:szCs w:val="21"/>
    </w:rPr>
  </w:style>
  <w:style w:type="character" w:styleId="777">
    <w:name w:val="Heading 9 Char"/>
    <w:link w:val="776"/>
    <w:uiPriority w:val="9"/>
    <w:rPr>
      <w:rFonts w:ascii="Arial" w:hAnsi="Arial" w:eastAsia="Arial" w:cs="Arial"/>
      <w:i/>
      <w:iCs/>
      <w:sz w:val="21"/>
      <w:szCs w:val="21"/>
    </w:rPr>
  </w:style>
  <w:style w:type="paragraph" w:styleId="778">
    <w:name w:val="List Paragraph"/>
    <w:basedOn w:val="934"/>
    <w:uiPriority w:val="34"/>
    <w:qFormat/>
    <w:pPr>
      <w:contextualSpacing/>
      <w:ind w:left="720"/>
    </w:pPr>
  </w:style>
  <w:style w:type="paragraph" w:styleId="779">
    <w:name w:val="No Spacing"/>
    <w:uiPriority w:val="1"/>
    <w:qFormat/>
    <w:pPr>
      <w:spacing w:before="0" w:after="0" w:line="240" w:lineRule="auto"/>
    </w:pPr>
  </w:style>
  <w:style w:type="paragraph" w:styleId="780">
    <w:name w:val="Title"/>
    <w:basedOn w:val="934"/>
    <w:next w:val="934"/>
    <w:link w:val="1223"/>
    <w:uiPriority w:val="10"/>
    <w:qFormat/>
    <w:pPr>
      <w:contextualSpacing/>
      <w:spacing w:before="300" w:after="200"/>
    </w:pPr>
    <w:rPr>
      <w:sz w:val="48"/>
      <w:szCs w:val="48"/>
    </w:rPr>
  </w:style>
  <w:style w:type="paragraph" w:styleId="781">
    <w:name w:val="Subtitle"/>
    <w:basedOn w:val="934"/>
    <w:next w:val="934"/>
    <w:link w:val="782"/>
    <w:uiPriority w:val="11"/>
    <w:qFormat/>
    <w:pPr>
      <w:spacing w:before="200" w:after="200"/>
    </w:pPr>
    <w:rPr>
      <w:sz w:val="24"/>
      <w:szCs w:val="24"/>
    </w:rPr>
  </w:style>
  <w:style w:type="character" w:styleId="782">
    <w:name w:val="Subtitle Char"/>
    <w:link w:val="781"/>
    <w:uiPriority w:val="11"/>
    <w:rPr>
      <w:sz w:val="24"/>
      <w:szCs w:val="24"/>
    </w:rPr>
  </w:style>
  <w:style w:type="paragraph" w:styleId="783">
    <w:name w:val="Quote"/>
    <w:basedOn w:val="934"/>
    <w:next w:val="934"/>
    <w:link w:val="784"/>
    <w:uiPriority w:val="29"/>
    <w:qFormat/>
    <w:pPr>
      <w:ind w:left="720" w:right="720"/>
    </w:pPr>
    <w:rPr>
      <w:i/>
    </w:rPr>
  </w:style>
  <w:style w:type="character" w:styleId="784">
    <w:name w:val="Quote Char"/>
    <w:link w:val="783"/>
    <w:uiPriority w:val="29"/>
    <w:rPr>
      <w:i/>
    </w:rPr>
  </w:style>
  <w:style w:type="paragraph" w:styleId="785">
    <w:name w:val="Intense Quote"/>
    <w:basedOn w:val="934"/>
    <w:next w:val="934"/>
    <w:link w:val="7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6">
    <w:name w:val="Intense Quote Char"/>
    <w:link w:val="785"/>
    <w:uiPriority w:val="30"/>
    <w:rPr>
      <w:i/>
    </w:rPr>
  </w:style>
  <w:style w:type="paragraph" w:styleId="787">
    <w:name w:val="Header"/>
    <w:basedOn w:val="934"/>
    <w:link w:val="1226"/>
    <w:uiPriority w:val="99"/>
    <w:unhideWhenUsed/>
    <w:pPr>
      <w:spacing w:after="0" w:line="240" w:lineRule="auto"/>
      <w:tabs>
        <w:tab w:val="center" w:pos="7143" w:leader="none"/>
        <w:tab w:val="right" w:pos="14287" w:leader="none"/>
      </w:tabs>
    </w:pPr>
  </w:style>
  <w:style w:type="paragraph" w:styleId="788">
    <w:name w:val="Footer"/>
    <w:basedOn w:val="934"/>
    <w:link w:val="790"/>
    <w:uiPriority w:val="99"/>
    <w:unhideWhenUsed/>
    <w:pPr>
      <w:spacing w:after="0" w:line="240" w:lineRule="auto"/>
      <w:tabs>
        <w:tab w:val="center" w:pos="7143" w:leader="none"/>
        <w:tab w:val="right" w:pos="14287" w:leader="none"/>
      </w:tabs>
    </w:pPr>
  </w:style>
  <w:style w:type="paragraph" w:styleId="789">
    <w:name w:val="Caption"/>
    <w:basedOn w:val="934"/>
    <w:next w:val="934"/>
    <w:uiPriority w:val="35"/>
    <w:semiHidden/>
    <w:unhideWhenUsed/>
    <w:qFormat/>
    <w:pPr>
      <w:spacing w:line="276" w:lineRule="auto"/>
    </w:pPr>
    <w:rPr>
      <w:b/>
      <w:bCs/>
      <w:color w:val="4f81bd" w:themeColor="accent1"/>
      <w:sz w:val="18"/>
      <w:szCs w:val="18"/>
    </w:rPr>
  </w:style>
  <w:style w:type="character" w:styleId="790">
    <w:name w:val="Caption Char"/>
    <w:basedOn w:val="789"/>
    <w:link w:val="788"/>
    <w:uiPriority w:val="99"/>
  </w:style>
  <w:style w:type="table" w:styleId="79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7">
    <w:name w:val="Hyperlink"/>
    <w:uiPriority w:val="99"/>
    <w:unhideWhenUsed/>
    <w:rPr>
      <w:color w:val="0000ff" w:themeColor="hyperlink"/>
      <w:u w:val="single"/>
    </w:rPr>
  </w:style>
  <w:style w:type="paragraph" w:styleId="918">
    <w:name w:val="footnote text"/>
    <w:basedOn w:val="934"/>
    <w:link w:val="1200"/>
    <w:uiPriority w:val="99"/>
    <w:semiHidden/>
    <w:unhideWhenUsed/>
    <w:pPr>
      <w:spacing w:after="40" w:line="240" w:lineRule="auto"/>
    </w:pPr>
    <w:rPr>
      <w:sz w:val="18"/>
    </w:rPr>
  </w:style>
  <w:style w:type="character" w:styleId="919">
    <w:name w:val="footnote reference"/>
    <w:uiPriority w:val="99"/>
    <w:unhideWhenUsed/>
    <w:rPr>
      <w:vertAlign w:val="superscript"/>
    </w:rPr>
  </w:style>
  <w:style w:type="paragraph" w:styleId="920">
    <w:name w:val="endnote text"/>
    <w:basedOn w:val="934"/>
    <w:link w:val="921"/>
    <w:uiPriority w:val="99"/>
    <w:semiHidden/>
    <w:unhideWhenUsed/>
    <w:pPr>
      <w:spacing w:after="0" w:line="240" w:lineRule="auto"/>
    </w:pPr>
    <w:rPr>
      <w:sz w:val="20"/>
    </w:rPr>
  </w:style>
  <w:style w:type="character" w:styleId="921">
    <w:name w:val="Endnote Text Char"/>
    <w:link w:val="920"/>
    <w:uiPriority w:val="99"/>
    <w:rPr>
      <w:sz w:val="20"/>
    </w:rPr>
  </w:style>
  <w:style w:type="character" w:styleId="922">
    <w:name w:val="endnote reference"/>
    <w:uiPriority w:val="99"/>
    <w:semiHidden/>
    <w:unhideWhenUsed/>
    <w:rPr>
      <w:vertAlign w:val="superscript"/>
    </w:rPr>
  </w:style>
  <w:style w:type="paragraph" w:styleId="923">
    <w:name w:val="toc 1"/>
    <w:basedOn w:val="934"/>
    <w:next w:val="934"/>
    <w:uiPriority w:val="39"/>
    <w:unhideWhenUsed/>
    <w:pPr>
      <w:ind w:left="0" w:right="0" w:firstLine="0"/>
      <w:spacing w:after="57"/>
    </w:pPr>
  </w:style>
  <w:style w:type="paragraph" w:styleId="924">
    <w:name w:val="toc 2"/>
    <w:basedOn w:val="934"/>
    <w:next w:val="934"/>
    <w:uiPriority w:val="39"/>
    <w:unhideWhenUsed/>
    <w:pPr>
      <w:ind w:left="283" w:right="0" w:firstLine="0"/>
      <w:spacing w:after="57"/>
    </w:pPr>
  </w:style>
  <w:style w:type="paragraph" w:styleId="925">
    <w:name w:val="toc 3"/>
    <w:basedOn w:val="934"/>
    <w:next w:val="934"/>
    <w:uiPriority w:val="39"/>
    <w:unhideWhenUsed/>
    <w:pPr>
      <w:ind w:left="567" w:right="0" w:firstLine="0"/>
      <w:spacing w:after="57"/>
    </w:pPr>
  </w:style>
  <w:style w:type="paragraph" w:styleId="926">
    <w:name w:val="toc 4"/>
    <w:basedOn w:val="934"/>
    <w:next w:val="934"/>
    <w:uiPriority w:val="39"/>
    <w:unhideWhenUsed/>
    <w:pPr>
      <w:ind w:left="850" w:right="0" w:firstLine="0"/>
      <w:spacing w:after="57"/>
    </w:pPr>
  </w:style>
  <w:style w:type="paragraph" w:styleId="927">
    <w:name w:val="toc 5"/>
    <w:basedOn w:val="934"/>
    <w:next w:val="934"/>
    <w:uiPriority w:val="39"/>
    <w:unhideWhenUsed/>
    <w:pPr>
      <w:ind w:left="1134" w:right="0" w:firstLine="0"/>
      <w:spacing w:after="57"/>
    </w:pPr>
  </w:style>
  <w:style w:type="paragraph" w:styleId="928">
    <w:name w:val="toc 6"/>
    <w:basedOn w:val="934"/>
    <w:next w:val="934"/>
    <w:uiPriority w:val="39"/>
    <w:unhideWhenUsed/>
    <w:pPr>
      <w:ind w:left="1417" w:right="0" w:firstLine="0"/>
      <w:spacing w:after="57"/>
    </w:pPr>
  </w:style>
  <w:style w:type="paragraph" w:styleId="929">
    <w:name w:val="toc 7"/>
    <w:basedOn w:val="934"/>
    <w:next w:val="934"/>
    <w:uiPriority w:val="39"/>
    <w:unhideWhenUsed/>
    <w:pPr>
      <w:ind w:left="1701" w:right="0" w:firstLine="0"/>
      <w:spacing w:after="57"/>
    </w:pPr>
  </w:style>
  <w:style w:type="paragraph" w:styleId="930">
    <w:name w:val="toc 8"/>
    <w:basedOn w:val="934"/>
    <w:next w:val="934"/>
    <w:uiPriority w:val="39"/>
    <w:unhideWhenUsed/>
    <w:pPr>
      <w:ind w:left="1984" w:right="0" w:firstLine="0"/>
      <w:spacing w:after="57"/>
    </w:pPr>
  </w:style>
  <w:style w:type="paragraph" w:styleId="931">
    <w:name w:val="toc 9"/>
    <w:basedOn w:val="934"/>
    <w:next w:val="934"/>
    <w:uiPriority w:val="39"/>
    <w:unhideWhenUsed/>
    <w:pPr>
      <w:ind w:left="2268" w:right="0" w:firstLine="0"/>
      <w:spacing w:after="57"/>
    </w:pPr>
  </w:style>
  <w:style w:type="paragraph" w:styleId="932">
    <w:name w:val="TOC Heading"/>
    <w:uiPriority w:val="39"/>
    <w:unhideWhenUsed/>
  </w:style>
  <w:style w:type="paragraph" w:styleId="933">
    <w:name w:val="table of figures"/>
    <w:basedOn w:val="934"/>
    <w:next w:val="934"/>
    <w:uiPriority w:val="99"/>
    <w:unhideWhenUsed/>
    <w:pPr>
      <w:spacing w:after="0" w:afterAutospacing="0"/>
    </w:pPr>
  </w:style>
  <w:style w:type="paragraph" w:styleId="934" w:default="1">
    <w:name w:val="Normal"/>
    <w:next w:val="934"/>
    <w:link w:val="934"/>
    <w:qFormat/>
    <w:pPr>
      <w:jc w:val="both"/>
      <w:widowControl w:val="off"/>
    </w:pPr>
    <w:rPr>
      <w:rFonts w:eastAsia="楷体_GB2312"/>
      <w:sz w:val="26"/>
      <w:lang w:val="en-US" w:eastAsia="zh-CN" w:bidi="ar-SA"/>
    </w:rPr>
  </w:style>
  <w:style w:type="paragraph" w:styleId="935">
    <w:name w:val="标题 1"/>
    <w:basedOn w:val="936"/>
    <w:next w:val="934"/>
    <w:link w:val="949"/>
    <w:qFormat/>
    <w:pPr>
      <w:keepLines/>
      <w:keepNext/>
      <w:spacing w:before="340" w:after="330" w:line="578" w:lineRule="auto"/>
      <w:outlineLvl w:val="0"/>
    </w:pPr>
    <w:rPr>
      <w:b/>
      <w:sz w:val="44"/>
    </w:rPr>
  </w:style>
  <w:style w:type="paragraph" w:styleId="936">
    <w:name w:val="标题 2"/>
    <w:basedOn w:val="934"/>
    <w:next w:val="947"/>
    <w:link w:val="946"/>
    <w:qFormat/>
    <w:pPr>
      <w:jc w:val="left"/>
      <w:keepLines/>
      <w:keepNext/>
      <w:outlineLvl w:val="1"/>
    </w:pPr>
    <w:rPr>
      <w:rFonts w:ascii="宋体" w:hAnsi="宋体"/>
      <w:b/>
    </w:rPr>
  </w:style>
  <w:style w:type="paragraph" w:styleId="937">
    <w:name w:val="标题 3"/>
    <w:basedOn w:val="934"/>
    <w:next w:val="934"/>
    <w:link w:val="950"/>
    <w:uiPriority w:val="1"/>
    <w:qFormat/>
    <w:pPr>
      <w:jc w:val="left"/>
      <w:keepLines/>
      <w:keepNext/>
      <w:outlineLvl w:val="2"/>
    </w:pPr>
    <w:rPr>
      <w:b/>
    </w:rPr>
  </w:style>
  <w:style w:type="paragraph" w:styleId="938">
    <w:name w:val="标题 4"/>
    <w:basedOn w:val="934"/>
    <w:next w:val="934"/>
    <w:link w:val="951"/>
    <w:qFormat/>
    <w:pPr>
      <w:keepLines/>
      <w:keepNext/>
      <w:spacing w:before="280" w:after="290" w:line="376" w:lineRule="auto"/>
      <w:outlineLvl w:val="3"/>
    </w:pPr>
    <w:rPr>
      <w:rFonts w:ascii="Arial" w:hAnsi="Arial" w:eastAsia="黑体"/>
      <w:b/>
      <w:bCs/>
      <w:sz w:val="28"/>
      <w:szCs w:val="28"/>
    </w:rPr>
  </w:style>
  <w:style w:type="paragraph" w:styleId="939">
    <w:name w:val="标题 5"/>
    <w:basedOn w:val="934"/>
    <w:next w:val="934"/>
    <w:link w:val="952"/>
    <w:qFormat/>
    <w:pPr>
      <w:jc w:val="left"/>
      <w:keepLines/>
      <w:keepNext/>
      <w:spacing w:before="280" w:after="290" w:line="376" w:lineRule="atLeast"/>
      <w:outlineLvl w:val="4"/>
    </w:pPr>
    <w:rPr>
      <w:rFonts w:ascii="宋体" w:hAnsi="Tms Rmn" w:eastAsia="宋体"/>
      <w:b/>
      <w:sz w:val="28"/>
    </w:rPr>
  </w:style>
  <w:style w:type="paragraph" w:styleId="940">
    <w:name w:val="标题 6"/>
    <w:basedOn w:val="934"/>
    <w:next w:val="934"/>
    <w:link w:val="953"/>
    <w:qFormat/>
    <w:pPr>
      <w:jc w:val="left"/>
      <w:keepLines/>
      <w:keepNext/>
      <w:spacing w:before="240" w:after="64" w:line="320" w:lineRule="atLeast"/>
      <w:outlineLvl w:val="5"/>
    </w:pPr>
    <w:rPr>
      <w:rFonts w:ascii="黑体" w:hAnsi="Tms Rmn" w:eastAsia="黑体"/>
      <w:b/>
      <w:sz w:val="24"/>
    </w:rPr>
  </w:style>
  <w:style w:type="paragraph" w:styleId="941">
    <w:name w:val="标题 7"/>
    <w:basedOn w:val="934"/>
    <w:next w:val="934"/>
    <w:link w:val="954"/>
    <w:qFormat/>
    <w:pPr>
      <w:jc w:val="left"/>
      <w:keepLines/>
      <w:keepNext/>
      <w:spacing w:before="240" w:after="64" w:line="320" w:lineRule="atLeast"/>
      <w:outlineLvl w:val="6"/>
    </w:pPr>
    <w:rPr>
      <w:rFonts w:ascii="宋体" w:hAnsi="Tms Rmn" w:eastAsia="宋体"/>
      <w:b/>
      <w:sz w:val="24"/>
    </w:rPr>
  </w:style>
  <w:style w:type="paragraph" w:styleId="942">
    <w:name w:val="标题 8"/>
    <w:basedOn w:val="934"/>
    <w:next w:val="934"/>
    <w:link w:val="955"/>
    <w:qFormat/>
    <w:pPr>
      <w:keepLines/>
      <w:keepNext/>
      <w:spacing w:before="240" w:after="64" w:line="320" w:lineRule="auto"/>
      <w:outlineLvl w:val="7"/>
    </w:pPr>
    <w:rPr>
      <w:rFonts w:ascii="Arial" w:hAnsi="Arial" w:eastAsia="黑体"/>
      <w:sz w:val="24"/>
      <w:szCs w:val="24"/>
    </w:rPr>
  </w:style>
  <w:style w:type="paragraph" w:styleId="943">
    <w:name w:val="标题 9"/>
    <w:basedOn w:val="934"/>
    <w:next w:val="934"/>
    <w:link w:val="956"/>
    <w:qFormat/>
    <w:pPr>
      <w:keepLines/>
      <w:keepNext/>
      <w:spacing w:before="240" w:after="64" w:line="320" w:lineRule="auto"/>
      <w:outlineLvl w:val="8"/>
    </w:pPr>
    <w:rPr>
      <w:rFonts w:ascii="Arial" w:hAnsi="Arial" w:eastAsia="黑体"/>
      <w:sz w:val="21"/>
      <w:szCs w:val="21"/>
    </w:rPr>
  </w:style>
  <w:style w:type="character" w:styleId="944">
    <w:name w:val="默认段落字体"/>
    <w:next w:val="944"/>
    <w:link w:val="934"/>
    <w:uiPriority w:val="1"/>
    <w:unhideWhenUsed/>
  </w:style>
  <w:style w:type="table" w:styleId="945">
    <w:name w:val="普通表格"/>
    <w:next w:val="945"/>
    <w:link w:val="934"/>
    <w:uiPriority w:val="99"/>
    <w:unhideWhenUsed/>
    <w:qFormat/>
    <w:tblPr/>
  </w:style>
  <w:style w:type="character" w:styleId="946">
    <w:name w:val="标题 2 Char"/>
    <w:next w:val="946"/>
    <w:link w:val="936"/>
    <w:qFormat/>
    <w:rPr>
      <w:rFonts w:ascii="宋体" w:hAnsi="宋体" w:eastAsia="楷体_GB2312" w:cs="Times New Roman"/>
      <w:b/>
      <w:sz w:val="26"/>
      <w:szCs w:val="20"/>
    </w:rPr>
  </w:style>
  <w:style w:type="paragraph" w:styleId="947">
    <w:name w:val="正文缩进"/>
    <w:basedOn w:val="934"/>
    <w:next w:val="947"/>
    <w:link w:val="948"/>
    <w:qFormat/>
    <w:pPr>
      <w:ind w:firstLine="420"/>
      <w:jc w:val="left"/>
    </w:pPr>
    <w:rPr>
      <w:rFonts w:ascii="Calibri" w:hAnsi="Calibri" w:cs="Times New Roman"/>
      <w:sz w:val="24"/>
      <w:szCs w:val="22"/>
    </w:rPr>
  </w:style>
  <w:style w:type="character" w:styleId="948">
    <w:name w:val="正文缩进 Char"/>
    <w:next w:val="948"/>
    <w:link w:val="947"/>
    <w:qFormat/>
    <w:rPr>
      <w:rFonts w:eastAsia="楷体_GB2312"/>
      <w:sz w:val="24"/>
    </w:rPr>
  </w:style>
  <w:style w:type="character" w:styleId="949">
    <w:name w:val="标题 1 Char"/>
    <w:next w:val="949"/>
    <w:link w:val="935"/>
    <w:qFormat/>
    <w:rPr>
      <w:rFonts w:ascii="Times New Roman" w:hAnsi="Times New Roman" w:eastAsia="楷体_GB2312" w:cs="Times New Roman"/>
      <w:b/>
      <w:sz w:val="44"/>
      <w:szCs w:val="20"/>
    </w:rPr>
  </w:style>
  <w:style w:type="character" w:styleId="950">
    <w:name w:val="标题 3 Char"/>
    <w:next w:val="950"/>
    <w:link w:val="937"/>
    <w:uiPriority w:val="1"/>
    <w:qFormat/>
    <w:rPr>
      <w:rFonts w:ascii="Times New Roman" w:hAnsi="Times New Roman" w:eastAsia="楷体_GB2312" w:cs="Times New Roman"/>
      <w:b/>
      <w:sz w:val="26"/>
      <w:szCs w:val="20"/>
    </w:rPr>
  </w:style>
  <w:style w:type="character" w:styleId="951">
    <w:name w:val="标题 4 Char"/>
    <w:next w:val="951"/>
    <w:link w:val="938"/>
    <w:qFormat/>
    <w:rPr>
      <w:rFonts w:ascii="Arial" w:hAnsi="Arial" w:eastAsia="黑体" w:cs="Times New Roman"/>
      <w:b/>
      <w:bCs/>
      <w:sz w:val="28"/>
      <w:szCs w:val="28"/>
    </w:rPr>
  </w:style>
  <w:style w:type="character" w:styleId="952">
    <w:name w:val="标题 5 Char"/>
    <w:next w:val="952"/>
    <w:link w:val="939"/>
    <w:qFormat/>
    <w:rPr>
      <w:rFonts w:ascii="宋体" w:hAnsi="Tms Rmn" w:eastAsia="宋体" w:cs="Times New Roman"/>
      <w:b/>
      <w:sz w:val="28"/>
      <w:szCs w:val="20"/>
    </w:rPr>
  </w:style>
  <w:style w:type="character" w:styleId="953">
    <w:name w:val="标题 6 Char"/>
    <w:next w:val="953"/>
    <w:link w:val="940"/>
    <w:qFormat/>
    <w:rPr>
      <w:rFonts w:ascii="黑体" w:hAnsi="Tms Rmn" w:eastAsia="黑体" w:cs="Times New Roman"/>
      <w:b/>
      <w:sz w:val="24"/>
      <w:szCs w:val="20"/>
    </w:rPr>
  </w:style>
  <w:style w:type="character" w:styleId="954">
    <w:name w:val="标题 7 Char"/>
    <w:next w:val="954"/>
    <w:link w:val="941"/>
    <w:qFormat/>
    <w:rPr>
      <w:rFonts w:ascii="宋体" w:hAnsi="Tms Rmn" w:eastAsia="宋体" w:cs="Times New Roman"/>
      <w:b/>
      <w:sz w:val="24"/>
      <w:szCs w:val="20"/>
    </w:rPr>
  </w:style>
  <w:style w:type="character" w:styleId="955">
    <w:name w:val="标题 8 Char"/>
    <w:next w:val="955"/>
    <w:link w:val="942"/>
    <w:qFormat/>
    <w:rPr>
      <w:rFonts w:ascii="Arial" w:hAnsi="Arial" w:eastAsia="黑体" w:cs="Times New Roman"/>
      <w:sz w:val="24"/>
      <w:szCs w:val="24"/>
    </w:rPr>
  </w:style>
  <w:style w:type="character" w:styleId="956">
    <w:name w:val="标题 9 Char"/>
    <w:next w:val="956"/>
    <w:link w:val="943"/>
    <w:qFormat/>
    <w:rPr>
      <w:rFonts w:ascii="Arial" w:hAnsi="Arial" w:eastAsia="黑体" w:cs="Times New Roman"/>
      <w:szCs w:val="21"/>
    </w:rPr>
  </w:style>
  <w:style w:type="paragraph" w:styleId="957">
    <w:name w:val="目录 7"/>
    <w:basedOn w:val="934"/>
    <w:next w:val="934"/>
    <w:link w:val="934"/>
    <w:uiPriority w:val="39"/>
    <w:qFormat/>
    <w:pPr>
      <w:ind w:left="2520"/>
    </w:pPr>
  </w:style>
  <w:style w:type="paragraph" w:styleId="958">
    <w:name w:val="索引 8"/>
    <w:basedOn w:val="934"/>
    <w:next w:val="934"/>
    <w:link w:val="934"/>
    <w:semiHidden/>
    <w:qFormat/>
    <w:pPr>
      <w:ind w:left="2940"/>
    </w:pPr>
  </w:style>
  <w:style w:type="paragraph" w:styleId="959">
    <w:name w:val="列表编号"/>
    <w:basedOn w:val="934"/>
    <w:next w:val="959"/>
    <w:link w:val="934"/>
    <w:qFormat/>
    <w:pPr>
      <w:ind w:left="1125" w:hanging="555"/>
      <w:tabs>
        <w:tab w:val="left" w:pos="1125" w:leader="none"/>
      </w:tabs>
    </w:pPr>
    <w:rPr>
      <w:rFonts w:eastAsia="宋体"/>
      <w:sz w:val="21"/>
      <w:szCs w:val="24"/>
    </w:rPr>
  </w:style>
  <w:style w:type="paragraph" w:styleId="960">
    <w:name w:val="题注"/>
    <w:basedOn w:val="934"/>
    <w:next w:val="934"/>
    <w:link w:val="934"/>
    <w:qFormat/>
    <w:rPr>
      <w:rFonts w:ascii="Cambria" w:hAnsi="Cambria" w:eastAsia="黑体"/>
      <w:sz w:val="20"/>
    </w:rPr>
  </w:style>
  <w:style w:type="paragraph" w:styleId="961">
    <w:name w:val="索引 5"/>
    <w:basedOn w:val="934"/>
    <w:next w:val="934"/>
    <w:link w:val="934"/>
    <w:semiHidden/>
    <w:qFormat/>
    <w:pPr>
      <w:ind w:left="1680"/>
    </w:pPr>
  </w:style>
  <w:style w:type="paragraph" w:styleId="962">
    <w:name w:val="列表项目符号"/>
    <w:basedOn w:val="935"/>
    <w:next w:val="934"/>
    <w:link w:val="934"/>
    <w:uiPriority w:val="99"/>
    <w:unhideWhenUsed/>
    <w:qFormat/>
    <w:pPr>
      <w:numPr>
        <w:ilvl w:val="0"/>
        <w:numId w:val="1"/>
      </w:numPr>
      <w:tabs>
        <w:tab w:val="left" w:pos="360" w:leader="none"/>
      </w:tabs>
    </w:pPr>
  </w:style>
  <w:style w:type="paragraph" w:styleId="963">
    <w:name w:val="文档结构图"/>
    <w:basedOn w:val="934"/>
    <w:next w:val="963"/>
    <w:link w:val="964"/>
    <w:qFormat/>
    <w:pPr>
      <w:shd w:val="clear" w:color="auto" w:fill="000080"/>
    </w:pPr>
    <w:rPr>
      <w:rFonts w:eastAsia="宋体"/>
      <w:sz w:val="21"/>
    </w:rPr>
  </w:style>
  <w:style w:type="character" w:styleId="964">
    <w:name w:val="文档结构图 Char"/>
    <w:next w:val="964"/>
    <w:link w:val="963"/>
    <w:qFormat/>
    <w:rPr>
      <w:rFonts w:ascii="Times New Roman" w:hAnsi="Times New Roman" w:eastAsia="宋体" w:cs="Times New Roman"/>
      <w:szCs w:val="20"/>
      <w:shd w:val="clear" w:color="auto" w:fill="000080"/>
    </w:rPr>
  </w:style>
  <w:style w:type="paragraph" w:styleId="965">
    <w:name w:val="批注文字"/>
    <w:basedOn w:val="934"/>
    <w:next w:val="965"/>
    <w:link w:val="966"/>
    <w:unhideWhenUsed/>
    <w:qFormat/>
    <w:pPr>
      <w:jc w:val="left"/>
    </w:pPr>
  </w:style>
  <w:style w:type="character" w:styleId="966">
    <w:name w:val="批注文字 Char1"/>
    <w:next w:val="966"/>
    <w:link w:val="965"/>
    <w:uiPriority w:val="99"/>
    <w:qFormat/>
    <w:rPr>
      <w:rFonts w:ascii="Times New Roman" w:hAnsi="Times New Roman" w:eastAsia="楷体_GB2312" w:cs="Times New Roman"/>
      <w:sz w:val="26"/>
      <w:szCs w:val="20"/>
    </w:rPr>
  </w:style>
  <w:style w:type="paragraph" w:styleId="967">
    <w:name w:val="索引 6"/>
    <w:basedOn w:val="934"/>
    <w:next w:val="934"/>
    <w:link w:val="934"/>
    <w:semiHidden/>
    <w:qFormat/>
    <w:pPr>
      <w:ind w:left="2100"/>
    </w:pPr>
  </w:style>
  <w:style w:type="paragraph" w:styleId="968">
    <w:name w:val="正文文本 3"/>
    <w:basedOn w:val="934"/>
    <w:next w:val="968"/>
    <w:link w:val="969"/>
    <w:qFormat/>
    <w:rPr>
      <w:rFonts w:ascii="宋体" w:eastAsia="宋体"/>
      <w:sz w:val="24"/>
    </w:rPr>
  </w:style>
  <w:style w:type="character" w:styleId="969">
    <w:name w:val="正文文本 3 Char"/>
    <w:next w:val="969"/>
    <w:link w:val="968"/>
    <w:qFormat/>
    <w:rPr>
      <w:rFonts w:ascii="宋体"/>
      <w:sz w:val="24"/>
    </w:rPr>
  </w:style>
  <w:style w:type="paragraph" w:styleId="970">
    <w:name w:val="正文文本"/>
    <w:basedOn w:val="934"/>
    <w:next w:val="970"/>
    <w:link w:val="971"/>
    <w:qFormat/>
    <w:pPr>
      <w:spacing w:line="400" w:lineRule="exact"/>
    </w:pPr>
    <w:rPr>
      <w:rFonts w:ascii="楷体_GB2312" w:hAnsi="Calibri" w:cs="Times New Roman"/>
      <w:sz w:val="28"/>
      <w:szCs w:val="22"/>
    </w:rPr>
  </w:style>
  <w:style w:type="character" w:styleId="971">
    <w:name w:val="正文文本 Char"/>
    <w:next w:val="971"/>
    <w:link w:val="970"/>
    <w:qFormat/>
    <w:rPr>
      <w:rFonts w:ascii="楷体_GB2312" w:eastAsia="楷体_GB2312"/>
      <w:sz w:val="28"/>
    </w:rPr>
  </w:style>
  <w:style w:type="paragraph" w:styleId="972">
    <w:name w:val="正文文本缩进"/>
    <w:basedOn w:val="934"/>
    <w:next w:val="972"/>
    <w:link w:val="973"/>
    <w:uiPriority w:val="99"/>
    <w:qFormat/>
    <w:pPr>
      <w:ind w:left="570"/>
      <w:spacing w:line="520" w:lineRule="exact"/>
    </w:pPr>
    <w:rPr>
      <w:rFonts w:ascii="方正仿宋简体" w:hAnsi="创艺简仿宋" w:eastAsia="方正仿宋简体" w:cs="Times New Roman"/>
      <w:sz w:val="24"/>
      <w:szCs w:val="22"/>
    </w:rPr>
  </w:style>
  <w:style w:type="character" w:styleId="973">
    <w:name w:val="正文文本缩进 Char"/>
    <w:next w:val="973"/>
    <w:link w:val="972"/>
    <w:uiPriority w:val="99"/>
    <w:qFormat/>
    <w:rPr>
      <w:rFonts w:ascii="方正仿宋简体" w:hAnsi="创艺简仿宋" w:eastAsia="方正仿宋简体"/>
      <w:sz w:val="24"/>
    </w:rPr>
  </w:style>
  <w:style w:type="paragraph" w:styleId="974">
    <w:name w:val="列表 2"/>
    <w:basedOn w:val="934"/>
    <w:next w:val="974"/>
    <w:link w:val="934"/>
    <w:qFormat/>
    <w:pPr>
      <w:ind w:left="840" w:hanging="420"/>
    </w:pPr>
    <w:rPr>
      <w:rFonts w:eastAsia="宋体"/>
      <w:sz w:val="21"/>
      <w:szCs w:val="24"/>
    </w:rPr>
  </w:style>
  <w:style w:type="paragraph" w:styleId="975">
    <w:name w:val="列表接续"/>
    <w:basedOn w:val="934"/>
    <w:next w:val="975"/>
    <w:link w:val="934"/>
    <w:qFormat/>
    <w:pPr>
      <w:ind w:left="420"/>
      <w:jc w:val="left"/>
      <w:spacing w:after="120"/>
      <w:widowControl/>
    </w:pPr>
    <w:rPr>
      <w:sz w:val="20"/>
      <w:szCs w:val="20"/>
    </w:rPr>
  </w:style>
  <w:style w:type="paragraph" w:styleId="976">
    <w:name w:val="文本块"/>
    <w:basedOn w:val="934"/>
    <w:next w:val="976"/>
    <w:link w:val="934"/>
    <w:qFormat/>
    <w:pPr>
      <w:ind w:left="630" w:right="-609" w:firstLine="420"/>
      <w:spacing w:line="360" w:lineRule="auto"/>
    </w:pPr>
    <w:rPr>
      <w:rFonts w:hint="eastAsia" w:ascii="仿宋_GB2312" w:eastAsia="仿宋_GB2312"/>
      <w:sz w:val="21"/>
    </w:rPr>
  </w:style>
  <w:style w:type="paragraph" w:styleId="977">
    <w:name w:val="索引 4"/>
    <w:basedOn w:val="934"/>
    <w:next w:val="934"/>
    <w:link w:val="934"/>
    <w:qFormat/>
    <w:pPr>
      <w:ind w:left="1260"/>
    </w:pPr>
  </w:style>
  <w:style w:type="paragraph" w:styleId="978">
    <w:name w:val="目录 5"/>
    <w:basedOn w:val="934"/>
    <w:next w:val="934"/>
    <w:link w:val="934"/>
    <w:uiPriority w:val="39"/>
    <w:qFormat/>
    <w:pPr>
      <w:ind w:left="1680"/>
    </w:pPr>
  </w:style>
  <w:style w:type="paragraph" w:styleId="979">
    <w:name w:val="目录 3"/>
    <w:basedOn w:val="934"/>
    <w:next w:val="934"/>
    <w:link w:val="934"/>
    <w:uiPriority w:val="39"/>
    <w:qFormat/>
    <w:pPr>
      <w:ind w:left="840"/>
    </w:pPr>
  </w:style>
  <w:style w:type="paragraph" w:styleId="980">
    <w:name w:val="纯文本"/>
    <w:basedOn w:val="934"/>
    <w:next w:val="980"/>
    <w:link w:val="981"/>
    <w:qFormat/>
    <w:rPr>
      <w:rFonts w:ascii="宋体" w:hAnsi="Courier New" w:cs="Times New Roman"/>
      <w:szCs w:val="22"/>
    </w:rPr>
  </w:style>
  <w:style w:type="character" w:styleId="981">
    <w:name w:val="纯文本 Char"/>
    <w:next w:val="981"/>
    <w:link w:val="980"/>
    <w:qFormat/>
    <w:rPr>
      <w:rFonts w:ascii="宋体" w:hAnsi="Courier New" w:eastAsia="楷体_GB2312"/>
      <w:sz w:val="26"/>
    </w:rPr>
  </w:style>
  <w:style w:type="paragraph" w:styleId="982">
    <w:name w:val="目录 8"/>
    <w:basedOn w:val="934"/>
    <w:next w:val="934"/>
    <w:link w:val="934"/>
    <w:uiPriority w:val="39"/>
    <w:qFormat/>
    <w:pPr>
      <w:ind w:left="2940"/>
    </w:pPr>
  </w:style>
  <w:style w:type="paragraph" w:styleId="983">
    <w:name w:val="索引 3"/>
    <w:basedOn w:val="934"/>
    <w:next w:val="934"/>
    <w:link w:val="934"/>
    <w:semiHidden/>
    <w:qFormat/>
    <w:pPr>
      <w:ind w:left="840"/>
    </w:pPr>
  </w:style>
  <w:style w:type="paragraph" w:styleId="984">
    <w:name w:val="日期"/>
    <w:basedOn w:val="934"/>
    <w:next w:val="934"/>
    <w:link w:val="985"/>
    <w:qFormat/>
    <w:rPr>
      <w:rFonts w:ascii="宋体" w:hAnsi="宋体"/>
      <w:sz w:val="24"/>
    </w:rPr>
  </w:style>
  <w:style w:type="character" w:styleId="985">
    <w:name w:val="日期 Char"/>
    <w:next w:val="985"/>
    <w:link w:val="984"/>
    <w:qFormat/>
    <w:rPr>
      <w:rFonts w:ascii="宋体" w:hAnsi="宋体" w:eastAsia="楷体_GB2312" w:cs="Times New Roman"/>
      <w:sz w:val="24"/>
      <w:szCs w:val="20"/>
    </w:rPr>
  </w:style>
  <w:style w:type="paragraph" w:styleId="986">
    <w:name w:val="正文文本缩进 2"/>
    <w:basedOn w:val="934"/>
    <w:next w:val="986"/>
    <w:link w:val="987"/>
    <w:qFormat/>
    <w:pPr>
      <w:ind w:firstLine="502"/>
      <w:spacing w:line="360" w:lineRule="auto"/>
      <w:tabs>
        <w:tab w:val="left" w:pos="0" w:leader="none"/>
      </w:tabs>
    </w:pPr>
    <w:rPr>
      <w:rFonts w:ascii="宋体" w:hAnsi="Calibri" w:eastAsia="宋体" w:cs="Times New Roman"/>
      <w:b/>
      <w:bCs/>
      <w:sz w:val="24"/>
      <w:szCs w:val="22"/>
    </w:rPr>
  </w:style>
  <w:style w:type="character" w:styleId="987">
    <w:name w:val="正文文本缩进 2 Char"/>
    <w:next w:val="987"/>
    <w:link w:val="986"/>
    <w:qFormat/>
    <w:rPr>
      <w:rFonts w:ascii="宋体"/>
      <w:b/>
      <w:bCs/>
      <w:sz w:val="24"/>
    </w:rPr>
  </w:style>
  <w:style w:type="paragraph" w:styleId="988">
    <w:name w:val="批注框文本"/>
    <w:basedOn w:val="934"/>
    <w:next w:val="988"/>
    <w:link w:val="989"/>
    <w:qFormat/>
    <w:rPr>
      <w:sz w:val="18"/>
      <w:szCs w:val="18"/>
    </w:rPr>
  </w:style>
  <w:style w:type="character" w:styleId="989">
    <w:name w:val="批注框文本 Char"/>
    <w:next w:val="989"/>
    <w:link w:val="988"/>
    <w:qFormat/>
    <w:rPr>
      <w:rFonts w:ascii="Times New Roman" w:hAnsi="Times New Roman" w:eastAsia="楷体_GB2312" w:cs="Times New Roman"/>
      <w:sz w:val="18"/>
      <w:szCs w:val="18"/>
    </w:rPr>
  </w:style>
  <w:style w:type="paragraph" w:styleId="990">
    <w:name w:val="页脚"/>
    <w:basedOn w:val="934"/>
    <w:next w:val="990"/>
    <w:link w:val="991"/>
    <w:uiPriority w:val="99"/>
    <w:qFormat/>
    <w:pPr>
      <w:jc w:val="left"/>
      <w:tabs>
        <w:tab w:val="center" w:pos="4153" w:leader="none"/>
        <w:tab w:val="right" w:pos="8306" w:leader="none"/>
      </w:tabs>
    </w:pPr>
    <w:rPr>
      <w:sz w:val="18"/>
    </w:rPr>
  </w:style>
  <w:style w:type="character" w:styleId="991">
    <w:name w:val="页脚 Char"/>
    <w:next w:val="991"/>
    <w:link w:val="990"/>
    <w:uiPriority w:val="99"/>
    <w:qFormat/>
    <w:rPr>
      <w:rFonts w:ascii="Times New Roman" w:hAnsi="Times New Roman" w:eastAsia="楷体_GB2312" w:cs="Times New Roman"/>
      <w:sz w:val="18"/>
      <w:szCs w:val="20"/>
    </w:rPr>
  </w:style>
  <w:style w:type="paragraph" w:styleId="992">
    <w:name w:val="寄信人地址"/>
    <w:basedOn w:val="934"/>
    <w:next w:val="992"/>
    <w:link w:val="934"/>
    <w:qFormat/>
    <w:rPr>
      <w:rFonts w:ascii="Arial" w:hAnsi="Arial"/>
    </w:rPr>
  </w:style>
  <w:style w:type="paragraph" w:styleId="993">
    <w:name w:val="页眉"/>
    <w:basedOn w:val="934"/>
    <w:next w:val="993"/>
    <w:link w:val="994"/>
    <w:uiPriority w:val="99"/>
    <w:qFormat/>
    <w:pPr>
      <w:jc w:val="center"/>
      <w:tabs>
        <w:tab w:val="center" w:pos="4153" w:leader="none"/>
        <w:tab w:val="right" w:pos="8306" w:leader="none"/>
      </w:tabs>
      <w:pBdr>
        <w:bottom w:val="single" w:color="000000" w:sz="6" w:space="1"/>
      </w:pBdr>
    </w:pPr>
    <w:rPr>
      <w:sz w:val="18"/>
    </w:rPr>
  </w:style>
  <w:style w:type="character" w:styleId="994">
    <w:name w:val="页眉 Char"/>
    <w:next w:val="994"/>
    <w:link w:val="993"/>
    <w:uiPriority w:val="99"/>
    <w:qFormat/>
    <w:rPr>
      <w:rFonts w:ascii="Times New Roman" w:hAnsi="Times New Roman" w:eastAsia="楷体_GB2312" w:cs="Times New Roman"/>
      <w:sz w:val="18"/>
      <w:szCs w:val="20"/>
    </w:rPr>
  </w:style>
  <w:style w:type="paragraph" w:styleId="995">
    <w:name w:val="目录 1"/>
    <w:basedOn w:val="934"/>
    <w:next w:val="934"/>
    <w:link w:val="934"/>
    <w:qFormat/>
    <w:pPr>
      <w:jc w:val="left"/>
    </w:pPr>
    <w:rPr>
      <w:sz w:val="24"/>
    </w:rPr>
  </w:style>
  <w:style w:type="paragraph" w:styleId="996">
    <w:name w:val="目录 4"/>
    <w:basedOn w:val="934"/>
    <w:next w:val="934"/>
    <w:link w:val="934"/>
    <w:uiPriority w:val="39"/>
    <w:qFormat/>
    <w:pPr>
      <w:ind w:left="1260"/>
    </w:pPr>
  </w:style>
  <w:style w:type="paragraph" w:styleId="997">
    <w:name w:val="索引标题"/>
    <w:basedOn w:val="934"/>
    <w:next w:val="998"/>
    <w:link w:val="934"/>
    <w:semiHidden/>
    <w:qFormat/>
  </w:style>
  <w:style w:type="paragraph" w:styleId="998">
    <w:name w:val="索引 1"/>
    <w:basedOn w:val="934"/>
    <w:next w:val="934"/>
    <w:link w:val="934"/>
    <w:semiHidden/>
    <w:qFormat/>
  </w:style>
  <w:style w:type="paragraph" w:styleId="999">
    <w:name w:val="副标题"/>
    <w:basedOn w:val="934"/>
    <w:next w:val="934"/>
    <w:link w:val="1000"/>
    <w:qFormat/>
    <w:pPr>
      <w:jc w:val="center"/>
      <w:spacing w:before="240" w:after="60" w:line="312" w:lineRule="auto"/>
      <w:outlineLvl w:val="1"/>
    </w:pPr>
    <w:rPr>
      <w:rFonts w:ascii="Cambria" w:hAnsi="Cambria" w:eastAsia="宋体"/>
      <w:b/>
      <w:bCs/>
      <w:sz w:val="32"/>
      <w:szCs w:val="32"/>
    </w:rPr>
  </w:style>
  <w:style w:type="character" w:styleId="1000">
    <w:name w:val="副标题 Char"/>
    <w:next w:val="1000"/>
    <w:link w:val="999"/>
    <w:qFormat/>
    <w:rPr>
      <w:rFonts w:ascii="Cambria" w:hAnsi="Cambria" w:eastAsia="宋体" w:cs="Times New Roman"/>
      <w:b/>
      <w:bCs/>
      <w:sz w:val="32"/>
      <w:szCs w:val="32"/>
    </w:rPr>
  </w:style>
  <w:style w:type="paragraph" w:styleId="1001">
    <w:name w:val="列表"/>
    <w:basedOn w:val="934"/>
    <w:next w:val="1001"/>
    <w:link w:val="934"/>
    <w:qFormat/>
    <w:pPr>
      <w:ind w:left="420" w:hanging="420"/>
    </w:pPr>
    <w:rPr>
      <w:rFonts w:eastAsia="宋体"/>
      <w:sz w:val="21"/>
      <w:szCs w:val="24"/>
    </w:rPr>
  </w:style>
  <w:style w:type="paragraph" w:styleId="1002">
    <w:name w:val="脚注文本"/>
    <w:basedOn w:val="934"/>
    <w:next w:val="1002"/>
    <w:link w:val="1003"/>
    <w:qFormat/>
    <w:pPr>
      <w:jc w:val="left"/>
    </w:pPr>
    <w:rPr>
      <w:sz w:val="18"/>
    </w:rPr>
  </w:style>
  <w:style w:type="character" w:styleId="1003">
    <w:name w:val="脚注文本 Char"/>
    <w:next w:val="1003"/>
    <w:link w:val="1002"/>
    <w:qFormat/>
    <w:rPr>
      <w:rFonts w:ascii="Times New Roman" w:hAnsi="Times New Roman" w:eastAsia="楷体_GB2312" w:cs="Times New Roman"/>
      <w:sz w:val="18"/>
      <w:szCs w:val="20"/>
    </w:rPr>
  </w:style>
  <w:style w:type="paragraph" w:styleId="1004">
    <w:name w:val="目录 6"/>
    <w:basedOn w:val="934"/>
    <w:next w:val="934"/>
    <w:link w:val="934"/>
    <w:uiPriority w:val="39"/>
    <w:qFormat/>
    <w:pPr>
      <w:ind w:left="2100"/>
    </w:pPr>
  </w:style>
  <w:style w:type="paragraph" w:styleId="1005">
    <w:name w:val="正文文本缩进 3"/>
    <w:basedOn w:val="934"/>
    <w:next w:val="1005"/>
    <w:link w:val="1006"/>
    <w:qFormat/>
    <w:pPr>
      <w:ind w:firstLine="617"/>
      <w:spacing w:line="360" w:lineRule="auto"/>
    </w:pPr>
    <w:rPr>
      <w:rFonts w:eastAsia="宋体"/>
      <w:sz w:val="24"/>
      <w:szCs w:val="24"/>
    </w:rPr>
  </w:style>
  <w:style w:type="character" w:styleId="1006">
    <w:name w:val="正文文本缩进 3 Char"/>
    <w:next w:val="1006"/>
    <w:link w:val="1005"/>
    <w:qFormat/>
    <w:rPr>
      <w:rFonts w:ascii="Times New Roman" w:hAnsi="Times New Roman" w:eastAsia="宋体" w:cs="Times New Roman"/>
      <w:sz w:val="24"/>
      <w:szCs w:val="24"/>
    </w:rPr>
  </w:style>
  <w:style w:type="paragraph" w:styleId="1007">
    <w:name w:val="索引 7"/>
    <w:basedOn w:val="934"/>
    <w:next w:val="934"/>
    <w:link w:val="934"/>
    <w:semiHidden/>
    <w:qFormat/>
    <w:pPr>
      <w:ind w:left="2520"/>
    </w:pPr>
  </w:style>
  <w:style w:type="paragraph" w:styleId="1008">
    <w:name w:val="索引 9"/>
    <w:basedOn w:val="934"/>
    <w:next w:val="934"/>
    <w:link w:val="934"/>
    <w:semiHidden/>
    <w:qFormat/>
    <w:pPr>
      <w:ind w:left="3360"/>
    </w:pPr>
  </w:style>
  <w:style w:type="paragraph" w:styleId="1009">
    <w:name w:val="图表目录"/>
    <w:basedOn w:val="934"/>
    <w:next w:val="934"/>
    <w:link w:val="934"/>
    <w:semiHidden/>
    <w:qFormat/>
    <w:pPr>
      <w:ind w:left="420" w:hanging="420"/>
      <w:jc w:val="left"/>
    </w:pPr>
    <w:rPr>
      <w:smallCaps/>
      <w:sz w:val="24"/>
    </w:rPr>
  </w:style>
  <w:style w:type="paragraph" w:styleId="1010">
    <w:name w:val="目录 2"/>
    <w:basedOn w:val="934"/>
    <w:next w:val="934"/>
    <w:link w:val="934"/>
    <w:uiPriority w:val="39"/>
    <w:qFormat/>
    <w:pPr>
      <w:ind w:left="420"/>
    </w:pPr>
  </w:style>
  <w:style w:type="paragraph" w:styleId="1011">
    <w:name w:val="目录 9"/>
    <w:basedOn w:val="934"/>
    <w:next w:val="934"/>
    <w:link w:val="934"/>
    <w:uiPriority w:val="39"/>
    <w:qFormat/>
    <w:pPr>
      <w:ind w:left="3360"/>
    </w:pPr>
  </w:style>
  <w:style w:type="paragraph" w:styleId="1012">
    <w:name w:val="正文文本 2"/>
    <w:basedOn w:val="935"/>
    <w:next w:val="962"/>
    <w:link w:val="1013"/>
    <w:qFormat/>
    <w:pPr>
      <w:spacing w:after="120" w:line="480" w:lineRule="auto"/>
    </w:pPr>
  </w:style>
  <w:style w:type="character" w:styleId="1013">
    <w:name w:val="正文文本 2 Char"/>
    <w:next w:val="1013"/>
    <w:link w:val="1012"/>
    <w:qFormat/>
    <w:rPr>
      <w:rFonts w:ascii="Times New Roman" w:hAnsi="Times New Roman" w:eastAsia="楷体_GB2312" w:cs="Times New Roman"/>
      <w:sz w:val="26"/>
      <w:szCs w:val="20"/>
    </w:rPr>
  </w:style>
  <w:style w:type="paragraph" w:styleId="1014">
    <w:name w:val="HTML 预设格式"/>
    <w:basedOn w:val="934"/>
    <w:next w:val="1014"/>
    <w:link w:val="101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1"/>
      <w:szCs w:val="22"/>
    </w:rPr>
  </w:style>
  <w:style w:type="character" w:styleId="1015">
    <w:name w:val="HTML 预设格式 Char"/>
    <w:next w:val="1015"/>
    <w:link w:val="1014"/>
    <w:uiPriority w:val="99"/>
    <w:qFormat/>
    <w:rPr>
      <w:rFonts w:ascii="黑体" w:hAnsi="Courier New" w:eastAsia="黑体" w:cs="楷体_GB2312"/>
    </w:rPr>
  </w:style>
  <w:style w:type="paragraph" w:styleId="1016">
    <w:name w:val="普通(网站)"/>
    <w:basedOn w:val="934"/>
    <w:next w:val="1016"/>
    <w:link w:val="934"/>
    <w:qFormat/>
    <w:pPr>
      <w:jc w:val="left"/>
      <w:spacing w:before="100" w:beforeAutospacing="1" w:after="100" w:afterAutospacing="1"/>
      <w:widowControl/>
    </w:pPr>
    <w:rPr>
      <w:rFonts w:ascii="宋体" w:hAnsi="宋体" w:eastAsia="宋体" w:cs="宋体"/>
      <w:sz w:val="24"/>
      <w:szCs w:val="24"/>
    </w:rPr>
  </w:style>
  <w:style w:type="paragraph" w:styleId="1017">
    <w:name w:val="索引 2"/>
    <w:basedOn w:val="934"/>
    <w:next w:val="934"/>
    <w:link w:val="934"/>
    <w:semiHidden/>
    <w:qFormat/>
    <w:pPr>
      <w:ind w:left="420"/>
    </w:pPr>
  </w:style>
  <w:style w:type="paragraph" w:styleId="1018">
    <w:name w:val="标题"/>
    <w:basedOn w:val="934"/>
    <w:next w:val="1018"/>
    <w:link w:val="1019"/>
    <w:qFormat/>
    <w:pPr>
      <w:numPr>
        <w:ilvl w:val="3"/>
        <w:numId w:val="2"/>
      </w:numPr>
      <w:jc w:val="center"/>
      <w:spacing w:before="240" w:after="60" w:line="360" w:lineRule="atLeast"/>
      <w:tabs>
        <w:tab w:val="left" w:pos="851" w:leader="none"/>
        <w:tab w:val="left" w:pos="2560" w:leader="none"/>
      </w:tabs>
      <w:outlineLvl w:val="0"/>
    </w:pPr>
    <w:rPr>
      <w:rFonts w:ascii="Arial" w:hAnsi="Arial" w:eastAsia="宋体" w:cs="Times New Roman"/>
      <w:b/>
      <w:sz w:val="32"/>
      <w:szCs w:val="22"/>
    </w:rPr>
  </w:style>
  <w:style w:type="character" w:styleId="1019">
    <w:name w:val="标题 Char"/>
    <w:next w:val="1019"/>
    <w:link w:val="1018"/>
    <w:qFormat/>
    <w:rPr>
      <w:rFonts w:ascii="Arial" w:hAnsi="Arial"/>
      <w:b/>
      <w:sz w:val="32"/>
    </w:rPr>
  </w:style>
  <w:style w:type="paragraph" w:styleId="1020">
    <w:name w:val="批注主题"/>
    <w:basedOn w:val="965"/>
    <w:next w:val="965"/>
    <w:link w:val="1021"/>
    <w:qFormat/>
    <w:rPr>
      <w:b/>
      <w:bCs/>
    </w:rPr>
  </w:style>
  <w:style w:type="character" w:styleId="1021">
    <w:name w:val="批注主题 Char"/>
    <w:next w:val="1021"/>
    <w:link w:val="1020"/>
    <w:qFormat/>
    <w:rPr>
      <w:rFonts w:ascii="Times New Roman" w:hAnsi="Times New Roman" w:eastAsia="楷体_GB2312" w:cs="Times New Roman"/>
      <w:b/>
      <w:bCs/>
      <w:sz w:val="26"/>
      <w:szCs w:val="20"/>
    </w:rPr>
  </w:style>
  <w:style w:type="paragraph" w:styleId="1022">
    <w:name w:val="正文首行缩进"/>
    <w:basedOn w:val="970"/>
    <w:next w:val="1022"/>
    <w:link w:val="1023"/>
    <w:qFormat/>
    <w:pPr>
      <w:ind w:firstLine="420"/>
      <w:spacing w:after="120" w:line="240" w:lineRule="auto"/>
    </w:pPr>
    <w:rPr>
      <w:rFonts w:ascii="Times New Roman"/>
      <w:sz w:val="26"/>
    </w:rPr>
  </w:style>
  <w:style w:type="character" w:styleId="1023">
    <w:name w:val="正文首行缩进 Char"/>
    <w:next w:val="1023"/>
    <w:link w:val="1022"/>
    <w:qFormat/>
    <w:rPr>
      <w:rFonts w:ascii="Times New Roman" w:hAnsi="Times New Roman" w:eastAsia="楷体_GB2312" w:cs="Times New Roman"/>
      <w:sz w:val="26"/>
      <w:szCs w:val="20"/>
    </w:rPr>
  </w:style>
  <w:style w:type="paragraph" w:styleId="1024">
    <w:name w:val="正文首行缩进 2"/>
    <w:basedOn w:val="972"/>
    <w:next w:val="934"/>
    <w:link w:val="1025"/>
    <w:qFormat/>
    <w:pPr>
      <w:ind w:left="0" w:firstLine="420"/>
      <w:spacing w:after="120" w:line="240" w:lineRule="auto"/>
    </w:pPr>
    <w:rPr>
      <w:rFonts w:ascii="Times New Roman" w:hAnsi="Times New Roman" w:eastAsia="宋体" w:cs="Times New Roman"/>
      <w:sz w:val="20"/>
      <w:szCs w:val="20"/>
    </w:rPr>
  </w:style>
  <w:style w:type="character" w:styleId="1025">
    <w:name w:val="正文首行缩进 2 Char"/>
    <w:next w:val="1025"/>
    <w:link w:val="1024"/>
    <w:qFormat/>
  </w:style>
  <w:style w:type="table" w:styleId="1026">
    <w:name w:val="网格型"/>
    <w:basedOn w:val="945"/>
    <w:next w:val="1026"/>
    <w:link w:val="934"/>
    <w:unhideWhenUsed/>
    <w:qFormat/>
    <w:tblPr/>
  </w:style>
  <w:style w:type="character" w:styleId="1027">
    <w:name w:val="要点"/>
    <w:next w:val="1027"/>
    <w:link w:val="934"/>
    <w:qFormat/>
    <w:rPr>
      <w:b/>
      <w:bCs/>
    </w:rPr>
  </w:style>
  <w:style w:type="character" w:styleId="1028">
    <w:name w:val="页码"/>
    <w:next w:val="1028"/>
    <w:link w:val="934"/>
    <w:qFormat/>
  </w:style>
  <w:style w:type="character" w:styleId="1029">
    <w:name w:val="已访问的超链接"/>
    <w:next w:val="1029"/>
    <w:link w:val="934"/>
    <w:uiPriority w:val="99"/>
    <w:unhideWhenUsed/>
    <w:qFormat/>
    <w:rPr>
      <w:color w:val="333333"/>
      <w:u w:val="none"/>
    </w:rPr>
  </w:style>
  <w:style w:type="character" w:styleId="1030">
    <w:name w:val="强调"/>
    <w:next w:val="1030"/>
    <w:link w:val="934"/>
    <w:qFormat/>
    <w:rPr>
      <w:color w:val="cc0000"/>
    </w:rPr>
  </w:style>
  <w:style w:type="character" w:styleId="1031">
    <w:name w:val="HTML 定义"/>
    <w:basedOn w:val="944"/>
    <w:next w:val="1031"/>
    <w:link w:val="934"/>
    <w:uiPriority w:val="99"/>
    <w:unhideWhenUsed/>
    <w:rPr>
      <w:b w:val="0"/>
      <w:bCs w:val="0"/>
      <w:i w:val="0"/>
      <w:iCs w:val="0"/>
    </w:rPr>
  </w:style>
  <w:style w:type="character" w:styleId="1032">
    <w:name w:val="HTML 打字机"/>
    <w:basedOn w:val="944"/>
    <w:next w:val="1032"/>
    <w:link w:val="934"/>
    <w:uiPriority w:val="99"/>
    <w:unhideWhenUsed/>
    <w:rPr>
      <w:rFonts w:ascii="monospace" w:hAnsi="monospace" w:eastAsia="monospace" w:cs="monospace"/>
      <w:sz w:val="20"/>
    </w:rPr>
  </w:style>
  <w:style w:type="character" w:styleId="1033">
    <w:name w:val="HTML 缩写"/>
    <w:basedOn w:val="944"/>
    <w:next w:val="1033"/>
    <w:link w:val="934"/>
    <w:uiPriority w:val="99"/>
    <w:unhideWhenUsed/>
  </w:style>
  <w:style w:type="character" w:styleId="1034">
    <w:name w:val="HTML 变量"/>
    <w:basedOn w:val="944"/>
    <w:next w:val="1034"/>
    <w:link w:val="934"/>
    <w:uiPriority w:val="99"/>
    <w:unhideWhenUsed/>
    <w:rPr>
      <w:b w:val="0"/>
      <w:bCs w:val="0"/>
      <w:i w:val="0"/>
      <w:iCs w:val="0"/>
    </w:rPr>
  </w:style>
  <w:style w:type="character" w:styleId="1035">
    <w:name w:val="超链接"/>
    <w:next w:val="1035"/>
    <w:link w:val="934"/>
    <w:uiPriority w:val="99"/>
    <w:qFormat/>
    <w:rPr>
      <w:color w:val="333333"/>
      <w:u w:val="none"/>
    </w:rPr>
  </w:style>
  <w:style w:type="character" w:styleId="1036">
    <w:name w:val="HTML 代码"/>
    <w:basedOn w:val="944"/>
    <w:next w:val="1036"/>
    <w:link w:val="934"/>
    <w:uiPriority w:val="99"/>
    <w:unhideWhenUsed/>
    <w:rPr>
      <w:rFonts w:ascii="monospace" w:hAnsi="monospace" w:eastAsia="monospace" w:cs="monospace"/>
      <w:b w:val="0"/>
      <w:bCs w:val="0"/>
      <w:i w:val="0"/>
      <w:iCs w:val="0"/>
      <w:sz w:val="20"/>
    </w:rPr>
  </w:style>
  <w:style w:type="character" w:styleId="1037">
    <w:name w:val="批注引用"/>
    <w:next w:val="1037"/>
    <w:link w:val="934"/>
    <w:uiPriority w:val="99"/>
    <w:qFormat/>
    <w:rPr>
      <w:sz w:val="21"/>
      <w:szCs w:val="21"/>
    </w:rPr>
  </w:style>
  <w:style w:type="character" w:styleId="1038">
    <w:name w:val="HTML 引文"/>
    <w:basedOn w:val="944"/>
    <w:next w:val="1038"/>
    <w:link w:val="934"/>
    <w:uiPriority w:val="99"/>
    <w:unhideWhenUsed/>
    <w:rPr>
      <w:b w:val="0"/>
      <w:bCs w:val="0"/>
      <w:i w:val="0"/>
      <w:iCs w:val="0"/>
    </w:rPr>
  </w:style>
  <w:style w:type="character" w:styleId="1039">
    <w:name w:val="脚注引用"/>
    <w:next w:val="1039"/>
    <w:link w:val="934"/>
    <w:semiHidden/>
    <w:qFormat/>
    <w:rPr>
      <w:vertAlign w:val="superscript"/>
    </w:rPr>
  </w:style>
  <w:style w:type="character" w:styleId="1040">
    <w:name w:val="HTML 键盘"/>
    <w:basedOn w:val="944"/>
    <w:next w:val="1040"/>
    <w:link w:val="934"/>
    <w:uiPriority w:val="99"/>
    <w:unhideWhenUsed/>
    <w:rPr>
      <w:rFonts w:ascii="monospace" w:hAnsi="monospace" w:eastAsia="monospace" w:cs="monospace"/>
      <w:sz w:val="20"/>
    </w:rPr>
  </w:style>
  <w:style w:type="character" w:styleId="1041">
    <w:name w:val="HTML 样本"/>
    <w:basedOn w:val="944"/>
    <w:next w:val="1041"/>
    <w:link w:val="934"/>
    <w:uiPriority w:val="99"/>
    <w:unhideWhenUsed/>
    <w:rPr>
      <w:rFonts w:ascii="monospace" w:hAnsi="monospace" w:eastAsia="monospace" w:cs="monospace"/>
    </w:rPr>
  </w:style>
  <w:style w:type="paragraph" w:styleId="1042">
    <w:name w:val="目录 51"/>
    <w:next w:val="934"/>
    <w:link w:val="934"/>
    <w:qFormat/>
    <w:pPr>
      <w:ind w:left="1275"/>
      <w:jc w:val="both"/>
    </w:pPr>
    <w:rPr>
      <w:sz w:val="21"/>
      <w:lang w:val="en-US" w:eastAsia="zh-CN" w:bidi="ar-SA"/>
    </w:rPr>
  </w:style>
  <w:style w:type="paragraph" w:styleId="1043">
    <w:name w:val="段"/>
    <w:next w:val="934"/>
    <w:link w:val="934"/>
    <w:qFormat/>
    <w:pPr>
      <w:ind w:firstLine="200"/>
      <w:jc w:val="both"/>
    </w:pPr>
    <w:rPr>
      <w:rFonts w:ascii="宋体"/>
      <w:sz w:val="21"/>
      <w:lang w:val="en-US" w:eastAsia="zh-CN" w:bidi="ar-SA"/>
    </w:rPr>
  </w:style>
  <w:style w:type="paragraph" w:styleId="1044">
    <w:name w:val="正文_1_0"/>
    <w:next w:val="1043"/>
    <w:link w:val="934"/>
    <w:qFormat/>
    <w:pPr>
      <w:jc w:val="both"/>
      <w:widowControl w:val="off"/>
    </w:pPr>
    <w:rPr>
      <w:sz w:val="21"/>
      <w:szCs w:val="22"/>
      <w:lang w:val="en-US" w:eastAsia="zh-CN" w:bidi="ar-SA"/>
    </w:rPr>
  </w:style>
  <w:style w:type="paragraph" w:styleId="1045">
    <w:name w:val="正文文本1"/>
    <w:basedOn w:val="934"/>
    <w:next w:val="1045"/>
    <w:link w:val="934"/>
    <w:qFormat/>
    <w:pPr>
      <w:jc w:val="center"/>
    </w:pPr>
    <w:rPr>
      <w:rFonts w:ascii="方正大黑简体" w:hAnsi="Tahoma" w:eastAsia="方正大黑简体" w:cs="Times New Roman"/>
      <w:position w:val="6"/>
      <w:sz w:val="30"/>
      <w:szCs w:val="20"/>
      <w:lang w:eastAsia="en-US"/>
    </w:rPr>
  </w:style>
  <w:style w:type="character" w:styleId="1046">
    <w:name w:val="正文文本 Char1"/>
    <w:next w:val="1046"/>
    <w:link w:val="934"/>
    <w:qFormat/>
    <w:rPr>
      <w:rFonts w:ascii="Times New Roman" w:hAnsi="Times New Roman" w:eastAsia="楷体_GB2312" w:cs="Times New Roman"/>
      <w:sz w:val="26"/>
      <w:szCs w:val="20"/>
    </w:rPr>
  </w:style>
  <w:style w:type="paragraph" w:styleId="1047">
    <w:name w:val="Default"/>
    <w:next w:val="1047"/>
    <w:link w:val="934"/>
    <w:qFormat/>
    <w:pPr>
      <w:widowControl w:val="off"/>
    </w:pPr>
    <w:rPr>
      <w:rFonts w:ascii="宋体" w:hAnsi="Calibri" w:cs="宋体"/>
      <w:color w:val="000000"/>
      <w:sz w:val="24"/>
      <w:szCs w:val="24"/>
      <w:lang w:val="en-US" w:eastAsia="zh-CN" w:bidi="ar-SA"/>
    </w:rPr>
  </w:style>
  <w:style w:type="paragraph" w:styleId="1048">
    <w:name w:val="_Style 21"/>
    <w:next w:val="1048"/>
    <w:link w:val="934"/>
    <w:qFormat/>
    <w:pPr>
      <w:jc w:val="both"/>
      <w:widowControl w:val="off"/>
    </w:pPr>
    <w:rPr>
      <w:rFonts w:eastAsia="楷体_GB2312"/>
      <w:sz w:val="26"/>
      <w:lang w:val="en-US" w:eastAsia="zh-CN" w:bidi="ar-SA"/>
    </w:rPr>
  </w:style>
  <w:style w:type="character" w:styleId="1049">
    <w:name w:val="样式 首行缩进:  2 字符 Char"/>
    <w:next w:val="1049"/>
    <w:link w:val="1050"/>
    <w:qFormat/>
    <w:rPr>
      <w:rFonts w:eastAsia="仿宋_GB2312"/>
      <w:sz w:val="24"/>
    </w:rPr>
  </w:style>
  <w:style w:type="paragraph" w:styleId="1050">
    <w:name w:val="样式 首行缩进:  2 字符"/>
    <w:basedOn w:val="934"/>
    <w:next w:val="1050"/>
    <w:link w:val="1049"/>
    <w:qFormat/>
    <w:pPr>
      <w:ind w:firstLine="560"/>
      <w:spacing w:line="360" w:lineRule="auto"/>
    </w:pPr>
    <w:rPr>
      <w:rFonts w:ascii="Calibri" w:hAnsi="Calibri" w:eastAsia="仿宋_GB2312" w:cs="Times New Roman"/>
      <w:sz w:val="24"/>
      <w:szCs w:val="22"/>
    </w:rPr>
  </w:style>
  <w:style w:type="character" w:styleId="1051">
    <w:name w:val="批注文字 Char"/>
    <w:next w:val="1051"/>
    <w:link w:val="934"/>
    <w:qFormat/>
    <w:rPr>
      <w:rFonts w:eastAsia="楷体_GB2312"/>
      <w:sz w:val="26"/>
    </w:rPr>
  </w:style>
  <w:style w:type="character" w:styleId="1052">
    <w:name w:val="列出段落 Char"/>
    <w:next w:val="1052"/>
    <w:link w:val="1053"/>
    <w:uiPriority w:val="99"/>
    <w:qFormat/>
    <w:rPr>
      <w:rFonts w:eastAsia="楷体_GB2312"/>
      <w:sz w:val="26"/>
    </w:rPr>
  </w:style>
  <w:style w:type="paragraph" w:styleId="1053">
    <w:name w:val="列出段落1"/>
    <w:basedOn w:val="934"/>
    <w:next w:val="1053"/>
    <w:link w:val="1052"/>
    <w:uiPriority w:val="34"/>
    <w:qFormat/>
    <w:pPr>
      <w:ind w:firstLine="420"/>
    </w:pPr>
    <w:rPr>
      <w:rFonts w:ascii="Calibri" w:hAnsi="Calibri" w:cs="Times New Roman"/>
      <w:szCs w:val="22"/>
    </w:rPr>
  </w:style>
  <w:style w:type="character" w:styleId="1054">
    <w:name w:val="ca-221"/>
    <w:next w:val="1054"/>
    <w:link w:val="934"/>
    <w:qFormat/>
    <w:rPr>
      <w:rFonts w:hint="eastAsia" w:ascii="宋体" w:hAnsi="宋体" w:eastAsia="宋体"/>
      <w:color w:val="ff0000"/>
      <w:sz w:val="24"/>
      <w:szCs w:val="24"/>
    </w:rPr>
  </w:style>
  <w:style w:type="character" w:styleId="1055">
    <w:name w:val="正文首行缩进 Char Char"/>
    <w:next w:val="1055"/>
    <w:link w:val="1056"/>
    <w:qFormat/>
    <w:rPr>
      <w:szCs w:val="24"/>
    </w:rPr>
  </w:style>
  <w:style w:type="paragraph" w:styleId="1056">
    <w:name w:val="正文首行缩进1"/>
    <w:basedOn w:val="970"/>
    <w:next w:val="1056"/>
    <w:link w:val="1055"/>
    <w:qFormat/>
    <w:pPr>
      <w:ind w:firstLine="420"/>
      <w:spacing w:after="120" w:line="240" w:lineRule="auto"/>
    </w:pPr>
    <w:rPr>
      <w:rFonts w:ascii="Calibri" w:eastAsia="宋体"/>
      <w:sz w:val="21"/>
      <w:szCs w:val="24"/>
    </w:rPr>
  </w:style>
  <w:style w:type="character" w:styleId="1057">
    <w:name w:val="普通文字 Char Char"/>
    <w:next w:val="1057"/>
    <w:link w:val="934"/>
    <w:qFormat/>
    <w:rPr>
      <w:rFonts w:ascii="宋体" w:hAnsi="Courier New" w:eastAsia="楷体_GB2312"/>
      <w:sz w:val="26"/>
      <w:lang w:val="en-US" w:eastAsia="zh-CN" w:bidi="ar-SA"/>
    </w:rPr>
  </w:style>
  <w:style w:type="character" w:styleId="1058">
    <w:name w:val="正文文本缩进 Char1"/>
    <w:next w:val="1058"/>
    <w:link w:val="934"/>
    <w:qFormat/>
    <w:rPr>
      <w:rFonts w:ascii="Times New Roman" w:hAnsi="Times New Roman" w:eastAsia="楷体_GB2312" w:cs="Times New Roman"/>
      <w:sz w:val="26"/>
      <w:szCs w:val="20"/>
    </w:rPr>
  </w:style>
  <w:style w:type="character" w:styleId="1059">
    <w:name w:val="正文文本缩进 2 Char1"/>
    <w:next w:val="1059"/>
    <w:link w:val="934"/>
    <w:uiPriority w:val="99"/>
    <w:semiHidden/>
    <w:qFormat/>
    <w:rPr>
      <w:rFonts w:ascii="Times New Roman" w:hAnsi="Times New Roman" w:eastAsia="楷体_GB2312" w:cs="Times New Roman"/>
      <w:sz w:val="26"/>
      <w:szCs w:val="20"/>
    </w:rPr>
  </w:style>
  <w:style w:type="character" w:styleId="1060">
    <w:name w:val="纯文本 Char1"/>
    <w:next w:val="1060"/>
    <w:link w:val="934"/>
    <w:qFormat/>
    <w:rPr>
      <w:rFonts w:ascii="宋体" w:hAnsi="Courier New" w:eastAsia="宋体" w:cs="Courier New"/>
      <w:szCs w:val="21"/>
    </w:rPr>
  </w:style>
  <w:style w:type="character" w:styleId="1061">
    <w:name w:val="HTML 预设格式 Char1"/>
    <w:next w:val="1061"/>
    <w:link w:val="934"/>
    <w:uiPriority w:val="99"/>
    <w:semiHidden/>
    <w:qFormat/>
    <w:rPr>
      <w:rFonts w:ascii="Courier New" w:hAnsi="Courier New" w:eastAsia="楷体_GB2312" w:cs="Courier New"/>
      <w:sz w:val="20"/>
      <w:szCs w:val="20"/>
    </w:rPr>
  </w:style>
  <w:style w:type="paragraph" w:styleId="1062">
    <w:name w:val="Char Char3 Char Char Char Char Char Char Char Char Char Char Char Char Char Char Char Char"/>
    <w:basedOn w:val="934"/>
    <w:next w:val="1062"/>
    <w:link w:val="934"/>
    <w:qFormat/>
    <w:pPr>
      <w:ind w:firstLine="200"/>
      <w:jc w:val="left"/>
      <w:spacing w:after="160" w:line="360" w:lineRule="auto"/>
      <w:widowControl/>
    </w:pPr>
    <w:rPr>
      <w:rFonts w:ascii="宋体" w:hAnsi="宋体" w:eastAsia="宋体"/>
      <w:sz w:val="24"/>
    </w:rPr>
  </w:style>
  <w:style w:type="paragraph" w:styleId="1063">
    <w:name w:val="xl62"/>
    <w:basedOn w:val="934"/>
    <w:next w:val="1063"/>
    <w:link w:val="9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64">
    <w:name w:val="xl45"/>
    <w:basedOn w:val="934"/>
    <w:next w:val="1064"/>
    <w:link w:val="9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65">
    <w:name w:val="xl47"/>
    <w:basedOn w:val="934"/>
    <w:next w:val="1065"/>
    <w:link w:val="9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66">
    <w:name w:val="xl66"/>
    <w:basedOn w:val="934"/>
    <w:next w:val="1066"/>
    <w:link w:val="9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67">
    <w:name w:val="xl46"/>
    <w:basedOn w:val="934"/>
    <w:next w:val="1067"/>
    <w:link w:val="9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68">
    <w:name w:val="xl61"/>
    <w:basedOn w:val="934"/>
    <w:next w:val="1068"/>
    <w:link w:val="9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69">
    <w:name w:val="xl48"/>
    <w:basedOn w:val="934"/>
    <w:next w:val="1069"/>
    <w:link w:val="9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70">
    <w:name w:val="Char Char Char"/>
    <w:basedOn w:val="934"/>
    <w:next w:val="1070"/>
    <w:link w:val="934"/>
    <w:qFormat/>
    <w:rPr>
      <w:rFonts w:ascii="Tahoma" w:hAnsi="Tahoma" w:eastAsia="宋体"/>
      <w:sz w:val="24"/>
    </w:rPr>
  </w:style>
  <w:style w:type="paragraph" w:styleId="1071">
    <w:name w:val="cardlist-value"/>
    <w:basedOn w:val="934"/>
    <w:next w:val="1071"/>
    <w:link w:val="934"/>
    <w:qFormat/>
    <w:pPr>
      <w:jc w:val="left"/>
      <w:spacing w:before="100" w:beforeAutospacing="1" w:after="100" w:afterAutospacing="1"/>
      <w:widowControl/>
    </w:pPr>
    <w:rPr>
      <w:rFonts w:ascii="宋体" w:hAnsi="宋体" w:eastAsia="宋体" w:cs="宋体"/>
      <w:sz w:val="24"/>
      <w:szCs w:val="24"/>
    </w:rPr>
  </w:style>
  <w:style w:type="paragraph" w:styleId="1072">
    <w:name w:val="Char"/>
    <w:basedOn w:val="934"/>
    <w:next w:val="1072"/>
    <w:link w:val="934"/>
    <w:qFormat/>
    <w:pPr>
      <w:jc w:val="left"/>
      <w:spacing w:after="160" w:line="240" w:lineRule="exact"/>
      <w:widowControl/>
    </w:pPr>
    <w:rPr>
      <w:rFonts w:ascii="Verdana" w:hAnsi="Verdana" w:eastAsia="仿宋_GB2312"/>
      <w:sz w:val="24"/>
      <w:lang w:eastAsia="en-US"/>
    </w:rPr>
  </w:style>
  <w:style w:type="paragraph" w:styleId="1073">
    <w:name w:val="Default Paragraph Font Para Char"/>
    <w:basedOn w:val="934"/>
    <w:next w:val="1073"/>
    <w:link w:val="934"/>
    <w:semiHidden/>
    <w:qFormat/>
    <w:pPr>
      <w:jc w:val="left"/>
      <w:spacing w:after="160" w:line="240" w:lineRule="exact"/>
      <w:widowControl/>
    </w:pPr>
    <w:rPr>
      <w:rFonts w:ascii="Verdana" w:hAnsi="Verdana" w:eastAsia="宋体"/>
      <w:sz w:val="20"/>
      <w:lang w:eastAsia="en-US"/>
    </w:rPr>
  </w:style>
  <w:style w:type="paragraph" w:styleId="1074">
    <w:name w:val="小四 段落 宋体 Char Char Char Char Char Char"/>
    <w:basedOn w:val="1075"/>
    <w:next w:val="1074"/>
    <w:link w:val="934"/>
    <w:qFormat/>
    <w:pPr>
      <w:ind w:firstLine="480"/>
    </w:pPr>
    <w:rPr>
      <w:rFonts w:ascii="宋体" w:hAnsi="宋体"/>
    </w:rPr>
  </w:style>
  <w:style w:type="paragraph" w:styleId="1075">
    <w:name w:val="小四 段落 宋体 Char Char Char Char Char Char Char"/>
    <w:basedOn w:val="959"/>
    <w:next w:val="1075"/>
    <w:link w:val="934"/>
    <w:semiHidden/>
    <w:qFormat/>
    <w:pPr>
      <w:ind w:left="0" w:right="-33" w:firstLine="545"/>
      <w:jc w:val="left"/>
      <w:spacing w:line="360" w:lineRule="auto"/>
      <w:tabs>
        <w:tab w:val="clear" w:pos="1125" w:leader="none"/>
      </w:tabs>
    </w:pPr>
    <w:rPr>
      <w:sz w:val="24"/>
    </w:rPr>
  </w:style>
  <w:style w:type="paragraph" w:styleId="1076">
    <w:name w:val="Plain Text1"/>
    <w:basedOn w:val="934"/>
    <w:next w:val="1076"/>
    <w:link w:val="934"/>
    <w:qFormat/>
    <w:rPr>
      <w:rFonts w:ascii="宋体" w:hAnsi="Courier New"/>
    </w:rPr>
  </w:style>
  <w:style w:type="paragraph" w:styleId="1077">
    <w:name w:val="xl50"/>
    <w:basedOn w:val="934"/>
    <w:next w:val="1077"/>
    <w:link w:val="9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78">
    <w:name w:val="xl52"/>
    <w:basedOn w:val="934"/>
    <w:next w:val="1078"/>
    <w:link w:val="9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79">
    <w:name w:val="font6"/>
    <w:basedOn w:val="934"/>
    <w:next w:val="1079"/>
    <w:link w:val="934"/>
    <w:qFormat/>
    <w:pPr>
      <w:jc w:val="left"/>
      <w:spacing w:before="100" w:beforeAutospacing="1" w:after="100" w:afterAutospacing="1"/>
      <w:widowControl/>
    </w:pPr>
    <w:rPr>
      <w:rFonts w:hint="eastAsia" w:ascii="宋体" w:hAnsi="宋体" w:eastAsia="宋体" w:cs="Arial Unicode MS"/>
      <w:b/>
      <w:bCs/>
      <w:sz w:val="18"/>
      <w:szCs w:val="18"/>
    </w:rPr>
  </w:style>
  <w:style w:type="paragraph" w:styleId="1080">
    <w:name w:val="p0"/>
    <w:basedOn w:val="934"/>
    <w:next w:val="1080"/>
    <w:link w:val="934"/>
    <w:qFormat/>
    <w:pPr>
      <w:jc w:val="left"/>
      <w:spacing w:before="100" w:beforeAutospacing="1" w:after="100" w:afterAutospacing="1"/>
      <w:widowControl/>
    </w:pPr>
    <w:rPr>
      <w:rFonts w:ascii="宋体" w:hAnsi="宋体" w:eastAsia="宋体" w:cs="宋体"/>
      <w:sz w:val="24"/>
      <w:szCs w:val="24"/>
    </w:rPr>
  </w:style>
  <w:style w:type="paragraph" w:styleId="1081">
    <w:name w:val="Char1"/>
    <w:basedOn w:val="934"/>
    <w:next w:val="1081"/>
    <w:link w:val="934"/>
    <w:qFormat/>
    <w:rPr>
      <w:rFonts w:ascii="Tahoma" w:hAnsi="Tahoma" w:eastAsia="宋体"/>
      <w:sz w:val="24"/>
    </w:rPr>
  </w:style>
  <w:style w:type="paragraph" w:styleId="1082">
    <w:name w:val="xl53"/>
    <w:basedOn w:val="934"/>
    <w:next w:val="1082"/>
    <w:link w:val="9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83">
    <w:name w:val="xl57"/>
    <w:basedOn w:val="934"/>
    <w:next w:val="1083"/>
    <w:link w:val="93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84">
    <w:name w:val="xl59"/>
    <w:basedOn w:val="934"/>
    <w:next w:val="1084"/>
    <w:link w:val="9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85">
    <w:name w:val="xl65"/>
    <w:basedOn w:val="934"/>
    <w:next w:val="1085"/>
    <w:link w:val="9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86">
    <w:name w:val="font5"/>
    <w:basedOn w:val="934"/>
    <w:next w:val="1086"/>
    <w:link w:val="934"/>
    <w:qFormat/>
    <w:pPr>
      <w:jc w:val="left"/>
      <w:spacing w:before="100" w:beforeAutospacing="1" w:after="100" w:afterAutospacing="1"/>
      <w:widowControl/>
    </w:pPr>
    <w:rPr>
      <w:rFonts w:hint="eastAsia" w:ascii="宋体" w:hAnsi="宋体" w:eastAsia="宋体"/>
      <w:sz w:val="18"/>
      <w:szCs w:val="18"/>
    </w:rPr>
  </w:style>
  <w:style w:type="paragraph" w:styleId="1087">
    <w:name w:val="小四 段落 宋体 Char"/>
    <w:basedOn w:val="959"/>
    <w:next w:val="1087"/>
    <w:link w:val="934"/>
    <w:qFormat/>
    <w:pPr>
      <w:ind w:left="0" w:right="-33" w:firstLine="480"/>
      <w:jc w:val="left"/>
      <w:spacing w:line="360" w:lineRule="auto"/>
      <w:tabs>
        <w:tab w:val="clear" w:pos="1125" w:leader="none"/>
      </w:tabs>
    </w:pPr>
    <w:rPr>
      <w:sz w:val="24"/>
    </w:rPr>
  </w:style>
  <w:style w:type="paragraph" w:styleId="1088">
    <w:name w:val="xl58"/>
    <w:basedOn w:val="934"/>
    <w:next w:val="1088"/>
    <w:link w:val="9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89">
    <w:name w:val="xl49"/>
    <w:basedOn w:val="934"/>
    <w:next w:val="1089"/>
    <w:link w:val="934"/>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090">
    <w:name w:val="纯文本1"/>
    <w:basedOn w:val="934"/>
    <w:next w:val="1090"/>
    <w:link w:val="934"/>
    <w:qFormat/>
    <w:rPr>
      <w:rFonts w:ascii="宋体" w:hAnsi="Courier New"/>
    </w:rPr>
  </w:style>
  <w:style w:type="paragraph" w:styleId="1091">
    <w:name w:val="Char Char"/>
    <w:basedOn w:val="934"/>
    <w:next w:val="1091"/>
    <w:link w:val="934"/>
    <w:qFormat/>
    <w:rPr>
      <w:rFonts w:eastAsia="宋体"/>
      <w:sz w:val="21"/>
      <w:szCs w:val="24"/>
    </w:rPr>
  </w:style>
  <w:style w:type="paragraph" w:styleId="1092">
    <w:name w:val="Char Char Char1 Char Char Char Char"/>
    <w:basedOn w:val="934"/>
    <w:next w:val="1092"/>
    <w:link w:val="934"/>
    <w:qFormat/>
    <w:pPr>
      <w:jc w:val="left"/>
      <w:spacing w:after="160" w:line="240" w:lineRule="exact"/>
      <w:widowControl/>
    </w:pPr>
    <w:rPr>
      <w:rFonts w:eastAsia="宋体"/>
      <w:sz w:val="24"/>
      <w:szCs w:val="24"/>
    </w:rPr>
  </w:style>
  <w:style w:type="paragraph" w:styleId="1093">
    <w:name w:val="xl51"/>
    <w:basedOn w:val="934"/>
    <w:next w:val="1093"/>
    <w:link w:val="9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94">
    <w:name w:val="font7"/>
    <w:basedOn w:val="934"/>
    <w:next w:val="1094"/>
    <w:link w:val="934"/>
    <w:qFormat/>
    <w:pPr>
      <w:jc w:val="left"/>
      <w:spacing w:before="100" w:beforeAutospacing="1" w:after="100" w:afterAutospacing="1"/>
      <w:widowControl/>
    </w:pPr>
    <w:rPr>
      <w:rFonts w:eastAsia="宋体"/>
      <w:sz w:val="20"/>
    </w:rPr>
  </w:style>
  <w:style w:type="paragraph" w:styleId="1095">
    <w:name w:val="xl54"/>
    <w:basedOn w:val="934"/>
    <w:next w:val="1095"/>
    <w:link w:val="9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96">
    <w:name w:val="xl55"/>
    <w:basedOn w:val="934"/>
    <w:next w:val="1096"/>
    <w:link w:val="93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97">
    <w:name w:val="xl56"/>
    <w:basedOn w:val="934"/>
    <w:next w:val="1097"/>
    <w:link w:val="9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98">
    <w:name w:val="xl60"/>
    <w:basedOn w:val="934"/>
    <w:next w:val="1098"/>
    <w:link w:val="9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99">
    <w:name w:val="xl63"/>
    <w:basedOn w:val="934"/>
    <w:next w:val="1099"/>
    <w:link w:val="9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100">
    <w:name w:val="xl64"/>
    <w:basedOn w:val="934"/>
    <w:next w:val="1100"/>
    <w:link w:val="9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character" w:styleId="1101">
    <w:name w:val="标题 Char1"/>
    <w:next w:val="1101"/>
    <w:link w:val="934"/>
    <w:uiPriority w:val="10"/>
    <w:qFormat/>
    <w:rPr>
      <w:rFonts w:ascii="Cambria" w:hAnsi="Cambria" w:eastAsia="宋体" w:cs="Times New Roman"/>
      <w:b/>
      <w:bCs/>
      <w:sz w:val="32"/>
      <w:szCs w:val="32"/>
    </w:rPr>
  </w:style>
  <w:style w:type="paragraph" w:styleId="1102">
    <w:name w:val="图"/>
    <w:basedOn w:val="934"/>
    <w:next w:val="1102"/>
    <w:link w:val="934"/>
    <w:qFormat/>
    <w:pPr>
      <w:jc w:val="center"/>
      <w:keepNext/>
      <w:spacing w:before="60" w:after="60" w:line="300" w:lineRule="auto"/>
    </w:pPr>
    <w:rPr>
      <w:rFonts w:eastAsia="宋体"/>
      <w:spacing w:val="20"/>
      <w:sz w:val="24"/>
    </w:rPr>
  </w:style>
  <w:style w:type="paragraph" w:styleId="1103">
    <w:name w:val="纯文本2"/>
    <w:next w:val="1103"/>
    <w:link w:val="934"/>
    <w:qFormat/>
    <w:pPr>
      <w:jc w:val="both"/>
      <w:widowControl w:val="off"/>
    </w:pPr>
    <w:rPr>
      <w:rFonts w:ascii="宋体" w:hAnsi="宋体" w:cs="宋体"/>
      <w:color w:val="000000"/>
      <w:sz w:val="26"/>
      <w:szCs w:val="26"/>
      <w:lang w:val="en-US" w:eastAsia="zh-CN" w:bidi="ar-SA"/>
    </w:rPr>
  </w:style>
  <w:style w:type="paragraph" w:styleId="1104">
    <w:name w:val="正文_9"/>
    <w:next w:val="1104"/>
    <w:link w:val="934"/>
    <w:qFormat/>
    <w:pPr>
      <w:jc w:val="both"/>
      <w:widowControl w:val="off"/>
    </w:pPr>
    <w:rPr>
      <w:rFonts w:ascii="Calibri" w:hAnsi="Calibri"/>
      <w:lang w:val="en-US" w:eastAsia="zh-CN" w:bidi="ar-SA"/>
    </w:rPr>
  </w:style>
  <w:style w:type="paragraph" w:styleId="1105">
    <w:name w:val="Normal_14"/>
    <w:next w:val="1105"/>
    <w:link w:val="934"/>
    <w:qFormat/>
    <w:pPr>
      <w:jc w:val="both"/>
      <w:widowControl w:val="off"/>
    </w:pPr>
    <w:rPr>
      <w:rFonts w:eastAsia="Times New Roman"/>
      <w:lang w:val="en-US" w:eastAsia="zh-CN" w:bidi="ar-SA"/>
    </w:rPr>
  </w:style>
  <w:style w:type="paragraph" w:styleId="1106">
    <w:name w:val="正文_6"/>
    <w:next w:val="1106"/>
    <w:link w:val="934"/>
    <w:qFormat/>
    <w:pPr>
      <w:jc w:val="both"/>
      <w:widowControl w:val="off"/>
    </w:pPr>
    <w:rPr>
      <w:rFonts w:ascii="Calibri" w:hAnsi="Calibri"/>
      <w:lang w:val="en-US" w:eastAsia="zh-CN" w:bidi="ar-SA"/>
    </w:rPr>
  </w:style>
  <w:style w:type="character" w:styleId="1107">
    <w:name w:val="Char Char20"/>
    <w:next w:val="1107"/>
    <w:link w:val="934"/>
    <w:qFormat/>
    <w:rPr>
      <w:rFonts w:ascii="Arial" w:hAnsi="Arial" w:eastAsia="黑体"/>
      <w:sz w:val="24"/>
      <w:szCs w:val="24"/>
      <w:lang w:val="en-US" w:eastAsia="zh-CN" w:bidi="ar-SA"/>
    </w:rPr>
  </w:style>
  <w:style w:type="character" w:styleId="1108">
    <w:name w:val="apple-style-span"/>
    <w:next w:val="1108"/>
    <w:link w:val="934"/>
    <w:qFormat/>
  </w:style>
  <w:style w:type="paragraph" w:styleId="1109">
    <w:name w:val="正文2"/>
    <w:basedOn w:val="934"/>
    <w:next w:val="1109"/>
    <w:link w:val="934"/>
    <w:qFormat/>
    <w:pPr>
      <w:ind w:firstLine="420"/>
      <w:jc w:val="left"/>
      <w:spacing w:line="360" w:lineRule="auto"/>
      <w:widowControl/>
    </w:pPr>
    <w:rPr>
      <w:rFonts w:eastAsia="宋体"/>
      <w:sz w:val="28"/>
    </w:rPr>
  </w:style>
  <w:style w:type="character" w:styleId="1110">
    <w:name w:val="Andy_正文 Char"/>
    <w:next w:val="1110"/>
    <w:link w:val="1111"/>
    <w:qFormat/>
    <w:rPr>
      <w:rFonts w:ascii="Calibri" w:hAnsi="Calibri" w:cs="Calibri"/>
      <w:sz w:val="24"/>
      <w:szCs w:val="24"/>
    </w:rPr>
  </w:style>
  <w:style w:type="paragraph" w:styleId="1111">
    <w:name w:val="Andy_正文"/>
    <w:basedOn w:val="934"/>
    <w:next w:val="1111"/>
    <w:link w:val="1110"/>
    <w:qFormat/>
    <w:pPr>
      <w:ind w:firstLine="480"/>
      <w:spacing w:line="360" w:lineRule="auto"/>
    </w:pPr>
    <w:rPr>
      <w:rFonts w:ascii="Calibri" w:hAnsi="Calibri" w:eastAsia="宋体" w:cs="Calibri"/>
      <w:sz w:val="24"/>
      <w:szCs w:val="24"/>
    </w:rPr>
  </w:style>
  <w:style w:type="paragraph" w:styleId="1112">
    <w:name w:val="列出段落2"/>
    <w:basedOn w:val="934"/>
    <w:next w:val="1112"/>
    <w:link w:val="934"/>
    <w:uiPriority w:val="99"/>
    <w:qFormat/>
    <w:pPr>
      <w:ind w:firstLine="420"/>
    </w:pPr>
    <w:rPr>
      <w:rFonts w:ascii="Calibri" w:hAnsi="Calibri" w:eastAsia="宋体"/>
      <w:sz w:val="21"/>
      <w:szCs w:val="22"/>
    </w:rPr>
  </w:style>
  <w:style w:type="paragraph" w:styleId="1113">
    <w:name w:val="表格文字"/>
    <w:next w:val="934"/>
    <w:link w:val="934"/>
    <w:qFormat/>
    <w:rPr>
      <w:sz w:val="21"/>
      <w:lang w:val="en-US" w:eastAsia="zh-CN" w:bidi="ar-SA"/>
    </w:rPr>
  </w:style>
  <w:style w:type="paragraph" w:styleId="1114">
    <w:name w:val="Char Char Char Char Char Char"/>
    <w:basedOn w:val="934"/>
    <w:next w:val="1114"/>
    <w:link w:val="934"/>
    <w:qFormat/>
    <w:pPr>
      <w:ind w:firstLine="200"/>
      <w:spacing w:line="360" w:lineRule="auto"/>
    </w:pPr>
    <w:rPr>
      <w:rFonts w:eastAsia="宋体"/>
      <w:sz w:val="21"/>
      <w:szCs w:val="24"/>
    </w:rPr>
  </w:style>
  <w:style w:type="character" w:styleId="1115">
    <w:name w:val="引用 Char"/>
    <w:next w:val="1115"/>
    <w:link w:val="1116"/>
    <w:qFormat/>
    <w:rPr>
      <w:rFonts w:ascii="Calibri" w:hAnsi="Calibri"/>
      <w:i/>
      <w:iCs/>
      <w:color w:val="000000"/>
    </w:rPr>
  </w:style>
  <w:style w:type="paragraph" w:styleId="1116">
    <w:name w:val="引用"/>
    <w:basedOn w:val="934"/>
    <w:next w:val="934"/>
    <w:link w:val="1115"/>
    <w:qFormat/>
    <w:rPr>
      <w:rFonts w:ascii="Calibri" w:hAnsi="Calibri" w:eastAsia="宋体" w:cs="Times New Roman"/>
      <w:i/>
      <w:iCs/>
      <w:color w:val="000000"/>
      <w:sz w:val="21"/>
      <w:szCs w:val="22"/>
    </w:rPr>
  </w:style>
  <w:style w:type="character" w:styleId="1117">
    <w:name w:val="引用 Char1"/>
    <w:next w:val="1117"/>
    <w:link w:val="934"/>
    <w:uiPriority w:val="29"/>
    <w:qFormat/>
    <w:rPr>
      <w:rFonts w:ascii="Times New Roman" w:hAnsi="Times New Roman" w:eastAsia="楷体_GB2312" w:cs="Times New Roman"/>
      <w:i/>
      <w:iCs/>
      <w:color w:val="000000"/>
      <w:sz w:val="26"/>
      <w:szCs w:val="20"/>
    </w:rPr>
  </w:style>
  <w:style w:type="character" w:styleId="1118">
    <w:name w:val="日期 Char1"/>
    <w:next w:val="1118"/>
    <w:link w:val="934"/>
    <w:qFormat/>
    <w:rPr>
      <w:sz w:val="21"/>
      <w:szCs w:val="24"/>
    </w:rPr>
  </w:style>
  <w:style w:type="character" w:styleId="1119">
    <w:name w:val="c lh15"/>
    <w:next w:val="1119"/>
    <w:link w:val="934"/>
    <w:qFormat/>
  </w:style>
  <w:style w:type="character" w:styleId="1120">
    <w:name w:val="副标题 Char1"/>
    <w:next w:val="1120"/>
    <w:link w:val="934"/>
    <w:uiPriority w:val="11"/>
    <w:qFormat/>
    <w:rPr>
      <w:rFonts w:ascii="Cambria" w:hAnsi="Cambria" w:cs="Times New Roman"/>
      <w:b/>
      <w:bCs/>
      <w:sz w:val="32"/>
      <w:szCs w:val="32"/>
    </w:rPr>
  </w:style>
  <w:style w:type="character" w:styleId="1121">
    <w:name w:val="批注主题 Char1"/>
    <w:next w:val="1121"/>
    <w:link w:val="934"/>
    <w:qFormat/>
    <w:rPr>
      <w:b/>
      <w:bCs/>
      <w:sz w:val="21"/>
      <w:szCs w:val="24"/>
    </w:rPr>
  </w:style>
  <w:style w:type="character" w:styleId="1122">
    <w:name w:val="明显引用 Char"/>
    <w:next w:val="1122"/>
    <w:link w:val="1123"/>
    <w:qFormat/>
    <w:rPr>
      <w:rFonts w:ascii="Calibri" w:hAnsi="Calibri"/>
      <w:b/>
      <w:bCs/>
      <w:i/>
      <w:iCs/>
      <w:color w:val="4f81bd"/>
    </w:rPr>
  </w:style>
  <w:style w:type="paragraph" w:styleId="1123">
    <w:name w:val="明显引用"/>
    <w:basedOn w:val="934"/>
    <w:next w:val="934"/>
    <w:link w:val="1122"/>
    <w:qFormat/>
    <w:pPr>
      <w:ind w:left="936" w:right="936"/>
      <w:spacing w:before="200" w:after="280"/>
      <w:pBdr>
        <w:bottom w:val="single" w:color="4F81BD" w:sz="4" w:space="4"/>
      </w:pBdr>
    </w:pPr>
    <w:rPr>
      <w:rFonts w:ascii="Calibri" w:hAnsi="Calibri" w:eastAsia="宋体" w:cs="Times New Roman"/>
      <w:b/>
      <w:bCs/>
      <w:i/>
      <w:iCs/>
      <w:color w:val="4f81bd"/>
      <w:sz w:val="21"/>
      <w:szCs w:val="22"/>
    </w:rPr>
  </w:style>
  <w:style w:type="character" w:styleId="1124">
    <w:name w:val="明显引用 Char1"/>
    <w:next w:val="1124"/>
    <w:link w:val="934"/>
    <w:uiPriority w:val="30"/>
    <w:qFormat/>
    <w:rPr>
      <w:rFonts w:ascii="Times New Roman" w:hAnsi="Times New Roman" w:eastAsia="楷体_GB2312" w:cs="Times New Roman"/>
      <w:b/>
      <w:bCs/>
      <w:i/>
      <w:iCs/>
      <w:color w:val="4f81bd"/>
      <w:sz w:val="26"/>
      <w:szCs w:val="20"/>
    </w:rPr>
  </w:style>
  <w:style w:type="character" w:styleId="1125">
    <w:name w:val="标题4 Char Char"/>
    <w:next w:val="1125"/>
    <w:link w:val="1126"/>
    <w:qFormat/>
    <w:rPr>
      <w:rFonts w:ascii="Arial" w:hAnsi="Arial" w:cs="Arial"/>
      <w:b/>
      <w:bCs/>
      <w:sz w:val="24"/>
      <w:szCs w:val="32"/>
    </w:rPr>
  </w:style>
  <w:style w:type="paragraph" w:styleId="1126">
    <w:name w:val="标题4"/>
    <w:basedOn w:val="936"/>
    <w:next w:val="977"/>
    <w:link w:val="1125"/>
    <w:qFormat/>
    <w:pPr>
      <w:jc w:val="both"/>
      <w:spacing w:before="260" w:after="260" w:line="412" w:lineRule="auto"/>
    </w:pPr>
    <w:rPr>
      <w:rFonts w:ascii="Arial" w:hAnsi="Arial" w:eastAsia="宋体" w:cs="Arial"/>
      <w:bCs/>
      <w:sz w:val="24"/>
      <w:szCs w:val="32"/>
    </w:rPr>
  </w:style>
  <w:style w:type="character" w:styleId="1127">
    <w:name w:val="标题5 Char Char"/>
    <w:next w:val="1127"/>
    <w:link w:val="1128"/>
    <w:qFormat/>
    <w:rPr>
      <w:rFonts w:ascii="Arial" w:hAnsi="Arial" w:cs="Arial"/>
      <w:b/>
      <w:bCs/>
      <w:sz w:val="24"/>
      <w:szCs w:val="32"/>
    </w:rPr>
  </w:style>
  <w:style w:type="paragraph" w:styleId="1128">
    <w:name w:val="标题5"/>
    <w:basedOn w:val="937"/>
    <w:next w:val="1128"/>
    <w:link w:val="1127"/>
    <w:qFormat/>
    <w:pPr>
      <w:jc w:val="both"/>
      <w:spacing w:before="260" w:after="260" w:line="412" w:lineRule="auto"/>
    </w:pPr>
    <w:rPr>
      <w:rFonts w:ascii="Arial" w:hAnsi="Arial" w:eastAsia="宋体" w:cs="Arial"/>
      <w:bCs/>
      <w:sz w:val="24"/>
      <w:szCs w:val="32"/>
    </w:rPr>
  </w:style>
  <w:style w:type="character" w:styleId="1129">
    <w:name w:val="标题 Char2"/>
    <w:next w:val="1129"/>
    <w:link w:val="934"/>
    <w:qFormat/>
    <w:rPr>
      <w:rFonts w:ascii="Cambria" w:hAnsi="Cambria" w:eastAsia="宋体" w:cs="Times New Roman"/>
      <w:b/>
      <w:bCs/>
      <w:sz w:val="32"/>
      <w:szCs w:val="32"/>
    </w:rPr>
  </w:style>
  <w:style w:type="character" w:styleId="1130">
    <w:name w:val="副标题 Char2"/>
    <w:next w:val="1130"/>
    <w:link w:val="934"/>
    <w:uiPriority w:val="11"/>
    <w:qFormat/>
    <w:rPr>
      <w:rFonts w:ascii="Cambria" w:hAnsi="Cambria" w:eastAsia="宋体" w:cs="Times New Roman"/>
      <w:b/>
      <w:bCs/>
      <w:sz w:val="32"/>
      <w:szCs w:val="32"/>
    </w:rPr>
  </w:style>
  <w:style w:type="paragraph" w:styleId="1131">
    <w:name w:val="Char1 Char Char Char"/>
    <w:basedOn w:val="934"/>
    <w:next w:val="1131"/>
    <w:link w:val="934"/>
    <w:qFormat/>
    <w:rPr>
      <w:rFonts w:ascii="Tahoma" w:hAnsi="Tahoma" w:eastAsia="宋体"/>
      <w:sz w:val="24"/>
    </w:rPr>
  </w:style>
  <w:style w:type="paragraph" w:styleId="1132">
    <w:name w:val="_Style 10"/>
    <w:basedOn w:val="934"/>
    <w:next w:val="1132"/>
    <w:link w:val="934"/>
    <w:qFormat/>
    <w:pPr>
      <w:ind w:left="420" w:hanging="420"/>
      <w:tabs>
        <w:tab w:val="left" w:pos="420" w:leader="none"/>
      </w:tabs>
    </w:pPr>
    <w:rPr>
      <w:rFonts w:eastAsia="宋体"/>
      <w:sz w:val="24"/>
      <w:szCs w:val="24"/>
    </w:rPr>
  </w:style>
  <w:style w:type="character" w:styleId="1133">
    <w:name w:val="引用 Char2"/>
    <w:next w:val="1133"/>
    <w:link w:val="934"/>
    <w:uiPriority w:val="29"/>
    <w:qFormat/>
    <w:rPr>
      <w:rFonts w:ascii="Calibri" w:hAnsi="Calibri" w:eastAsia="宋体" w:cs="Times New Roman"/>
      <w:i/>
      <w:iCs/>
      <w:color w:val="000000"/>
    </w:rPr>
  </w:style>
  <w:style w:type="paragraph" w:styleId="1134">
    <w:name w:val="Char Char Char Char"/>
    <w:basedOn w:val="963"/>
    <w:next w:val="1134"/>
    <w:link w:val="934"/>
    <w:qFormat/>
    <w:pPr>
      <w:spacing w:line="360" w:lineRule="auto"/>
    </w:pPr>
    <w:rPr>
      <w:rFonts w:ascii="Calibri" w:hAnsi="Calibri"/>
      <w:sz w:val="24"/>
    </w:rPr>
  </w:style>
  <w:style w:type="paragraph" w:styleId="1135">
    <w:name w:val="_Style 14"/>
    <w:basedOn w:val="934"/>
    <w:next w:val="1135"/>
    <w:link w:val="934"/>
    <w:qFormat/>
    <w:rPr>
      <w:rFonts w:eastAsia="宋体"/>
      <w:sz w:val="21"/>
      <w:szCs w:val="24"/>
    </w:rPr>
  </w:style>
  <w:style w:type="paragraph" w:styleId="1136">
    <w:name w:val="Char Char Char Char Char Char Char Char Char1 Char"/>
    <w:basedOn w:val="963"/>
    <w:next w:val="1136"/>
    <w:link w:val="934"/>
    <w:qFormat/>
    <w:pPr>
      <w:spacing w:line="360" w:lineRule="auto"/>
    </w:pPr>
    <w:rPr>
      <w:rFonts w:ascii="Tahoma" w:hAnsi="Tahoma"/>
      <w:sz w:val="24"/>
      <w:szCs w:val="24"/>
    </w:rPr>
  </w:style>
  <w:style w:type="character" w:styleId="1137">
    <w:name w:val="明显引用 Char2"/>
    <w:next w:val="1137"/>
    <w:link w:val="934"/>
    <w:uiPriority w:val="30"/>
    <w:qFormat/>
    <w:rPr>
      <w:rFonts w:ascii="Calibri" w:hAnsi="Calibri" w:eastAsia="宋体" w:cs="Times New Roman"/>
      <w:b/>
      <w:bCs/>
      <w:i/>
      <w:iCs/>
      <w:color w:val="4f81bd"/>
    </w:rPr>
  </w:style>
  <w:style w:type="paragraph" w:styleId="1138">
    <w:name w:val="纯文本21"/>
    <w:basedOn w:val="934"/>
    <w:next w:val="1138"/>
    <w:link w:val="934"/>
    <w:qFormat/>
    <w:rPr>
      <w:rFonts w:ascii="宋体" w:hAnsi="Courier New"/>
      <w:sz w:val="28"/>
    </w:rPr>
  </w:style>
  <w:style w:type="paragraph" w:styleId="1139">
    <w:name w:val="Char Char Char1"/>
    <w:basedOn w:val="934"/>
    <w:next w:val="1139"/>
    <w:link w:val="934"/>
    <w:qFormat/>
    <w:pPr>
      <w:ind w:left="840" w:hanging="360"/>
      <w:tabs>
        <w:tab w:val="left" w:pos="360" w:leader="none"/>
        <w:tab w:val="left" w:pos="840" w:leader="none"/>
      </w:tabs>
    </w:pPr>
    <w:rPr>
      <w:rFonts w:eastAsia="宋体"/>
      <w:sz w:val="21"/>
      <w:szCs w:val="24"/>
    </w:rPr>
  </w:style>
  <w:style w:type="paragraph" w:styleId="1140">
    <w:name w:val="Char Char Char Char Char Char Char Char Char1 Char Char Char Char"/>
    <w:basedOn w:val="963"/>
    <w:next w:val="1140"/>
    <w:link w:val="934"/>
    <w:qFormat/>
    <w:pPr>
      <w:spacing w:line="360" w:lineRule="auto"/>
    </w:pPr>
    <w:rPr>
      <w:rFonts w:ascii="Calibri" w:hAnsi="Calibri" w:eastAsia="楷体_GB2312"/>
      <w:sz w:val="26"/>
    </w:rPr>
  </w:style>
  <w:style w:type="paragraph" w:styleId="1141">
    <w:name w:val="默认段落字体 Para Char Char Char Char Char Char Char Char Char1 Char Char Char Char"/>
    <w:basedOn w:val="934"/>
    <w:next w:val="1141"/>
    <w:link w:val="934"/>
    <w:qFormat/>
    <w:rPr>
      <w:rFonts w:eastAsia="宋体"/>
      <w:sz w:val="21"/>
    </w:rPr>
  </w:style>
  <w:style w:type="paragraph" w:styleId="1142">
    <w:name w:val="列出段落"/>
    <w:basedOn w:val="934"/>
    <w:next w:val="1142"/>
    <w:link w:val="934"/>
    <w:uiPriority w:val="34"/>
    <w:qFormat/>
    <w:pPr>
      <w:ind w:firstLine="420"/>
    </w:pPr>
  </w:style>
  <w:style w:type="paragraph" w:styleId="1143">
    <w:name w:val="xl91"/>
    <w:basedOn w:val="935"/>
    <w:next w:val="1144"/>
    <w:link w:val="934"/>
    <w:qFormat/>
    <w:pPr>
      <w:ind w:firstLine="3584"/>
      <w:spacing w:before="280" w:after="280" w:line="240" w:lineRule="auto"/>
    </w:pPr>
  </w:style>
  <w:style w:type="paragraph" w:styleId="1144">
    <w:name w:val="xl76"/>
    <w:basedOn w:val="935"/>
    <w:next w:val="1012"/>
    <w:link w:val="934"/>
    <w:qFormat/>
    <w:pPr>
      <w:ind w:firstLine="3584"/>
      <w:jc w:val="center"/>
      <w:spacing w:before="280" w:after="280" w:line="240" w:lineRule="auto"/>
    </w:pPr>
  </w:style>
  <w:style w:type="character" w:styleId="1145">
    <w:name w:val="正文缩进 Char2"/>
    <w:next w:val="1145"/>
    <w:link w:val="934"/>
    <w:qFormat/>
    <w:rPr>
      <w:rFonts w:eastAsia="楷体_GB2312"/>
      <w:sz w:val="24"/>
    </w:rPr>
  </w:style>
  <w:style w:type="character" w:styleId="1146">
    <w:name w:val="正文1"/>
    <w:next w:val="1146"/>
    <w:link w:val="934"/>
    <w:qFormat/>
  </w:style>
  <w:style w:type="character" w:styleId="1147">
    <w:name w:val="正文文本缩进 Char3"/>
    <w:next w:val="1147"/>
    <w:link w:val="934"/>
    <w:qFormat/>
    <w:rPr>
      <w:rFonts w:eastAsia="方正书宋简体"/>
      <w:sz w:val="24"/>
    </w:rPr>
  </w:style>
  <w:style w:type="character" w:styleId="1148">
    <w:name w:val="CITE"/>
    <w:next w:val="1148"/>
    <w:link w:val="934"/>
    <w:qFormat/>
    <w:rPr>
      <w:i/>
    </w:rPr>
  </w:style>
  <w:style w:type="character" w:styleId="1149">
    <w:name w:val="Heading 4 Char"/>
    <w:next w:val="1149"/>
    <w:link w:val="934"/>
    <w:qFormat/>
    <w:rPr>
      <w:rFonts w:ascii="Arial" w:hAnsi="Arial" w:eastAsia="宋体"/>
      <w:b/>
      <w:bCs/>
      <w:sz w:val="21"/>
      <w:szCs w:val="28"/>
      <w:lang w:val="en-US" w:eastAsia="zh-CN" w:bidi="ar-SA"/>
    </w:rPr>
  </w:style>
  <w:style w:type="character" w:styleId="1150">
    <w:name w:val="Char Char9"/>
    <w:next w:val="1150"/>
    <w:link w:val="934"/>
    <w:qFormat/>
    <w:rPr>
      <w:rFonts w:eastAsia="宋体"/>
      <w:b/>
      <w:bCs/>
      <w:sz w:val="32"/>
      <w:szCs w:val="44"/>
      <w:lang w:val="en-US" w:eastAsia="zh-CN" w:bidi="ar-SA"/>
    </w:rPr>
  </w:style>
  <w:style w:type="character" w:styleId="1151">
    <w:name w:val="Footer Char"/>
    <w:next w:val="1151"/>
    <w:link w:val="934"/>
    <w:qFormat/>
    <w:rPr>
      <w:rFonts w:eastAsia="宋体"/>
      <w:sz w:val="18"/>
      <w:szCs w:val="18"/>
      <w:lang w:val="en-US" w:eastAsia="zh-CN" w:bidi="ar-SA"/>
    </w:rPr>
  </w:style>
  <w:style w:type="character" w:styleId="1152">
    <w:name w:val="Char Char4"/>
    <w:next w:val="1152"/>
    <w:link w:val="934"/>
    <w:qFormat/>
    <w:rPr>
      <w:rFonts w:ascii="宋体" w:hAnsi="宋体" w:eastAsia="黑体" w:cs="Arial"/>
      <w:b/>
      <w:sz w:val="28"/>
      <w:szCs w:val="32"/>
      <w:lang w:val="en-US" w:eastAsia="zh-CN" w:bidi="ar-SA"/>
    </w:rPr>
  </w:style>
  <w:style w:type="character" w:styleId="1153">
    <w:name w:val="Heading 2 Char"/>
    <w:next w:val="1153"/>
    <w:link w:val="934"/>
    <w:qFormat/>
    <w:rPr>
      <w:rFonts w:ascii="Arial" w:hAnsi="Arial" w:eastAsia="黑体"/>
      <w:b/>
      <w:bCs/>
      <w:sz w:val="32"/>
      <w:szCs w:val="32"/>
      <w:lang w:val="en-US" w:eastAsia="zh-CN" w:bidi="ar-SA"/>
    </w:rPr>
  </w:style>
  <w:style w:type="character" w:styleId="1154">
    <w:name w:val="Body Text Indent Char"/>
    <w:next w:val="1154"/>
    <w:link w:val="934"/>
    <w:qFormat/>
    <w:rPr>
      <w:rFonts w:ascii="宋体" w:hAnsi="宋体" w:eastAsia="宋体"/>
      <w:sz w:val="21"/>
      <w:lang w:val="en-US" w:eastAsia="zh-CN" w:bidi="ar-SA"/>
    </w:rPr>
  </w:style>
  <w:style w:type="character" w:styleId="1155">
    <w:name w:val="批注文字 Char Char"/>
    <w:next w:val="1155"/>
    <w:link w:val="934"/>
    <w:qFormat/>
    <w:rPr>
      <w:rFonts w:ascii="宋体" w:hAnsi="Times New Roman" w:eastAsia="宋体" w:cs="Times New Roman"/>
      <w:sz w:val="28"/>
      <w:szCs w:val="20"/>
    </w:rPr>
  </w:style>
  <w:style w:type="character" w:styleId="1156">
    <w:name w:val="Body Text Indent 2 Char"/>
    <w:next w:val="1156"/>
    <w:link w:val="934"/>
    <w:qFormat/>
    <w:rPr>
      <w:rFonts w:eastAsia="宋体"/>
      <w:sz w:val="21"/>
      <w:szCs w:val="24"/>
      <w:lang w:val="en-US" w:eastAsia="zh-CN" w:bidi="ar-SA"/>
    </w:rPr>
  </w:style>
  <w:style w:type="character" w:styleId="1157">
    <w:name w:val="textcontents"/>
    <w:next w:val="1157"/>
    <w:link w:val="934"/>
    <w:qFormat/>
    <w:rPr>
      <w:rFonts w:cs="Times New Roman"/>
    </w:rPr>
  </w:style>
  <w:style w:type="character" w:styleId="1158">
    <w:name w:val="Char Char24"/>
    <w:next w:val="1158"/>
    <w:link w:val="934"/>
    <w:qFormat/>
    <w:rPr>
      <w:rFonts w:eastAsia="宋体"/>
      <w:b/>
      <w:bCs/>
      <w:sz w:val="32"/>
      <w:szCs w:val="44"/>
      <w:lang w:val="en-US" w:eastAsia="zh-CN" w:bidi="ar-SA"/>
    </w:rPr>
  </w:style>
  <w:style w:type="character" w:styleId="1159">
    <w:name w:val="正文11"/>
    <w:next w:val="1159"/>
    <w:link w:val="934"/>
    <w:qFormat/>
  </w:style>
  <w:style w:type="character" w:styleId="1160">
    <w:name w:val="Date Char"/>
    <w:next w:val="1160"/>
    <w:link w:val="934"/>
    <w:qFormat/>
    <w:rPr>
      <w:rFonts w:eastAsia="宋体"/>
      <w:sz w:val="21"/>
      <w:szCs w:val="24"/>
      <w:lang w:val="en-US" w:eastAsia="zh-CN" w:bidi="ar-SA"/>
    </w:rPr>
  </w:style>
  <w:style w:type="character" w:styleId="1161">
    <w:name w:val="Char Char91"/>
    <w:next w:val="1161"/>
    <w:link w:val="934"/>
    <w:qFormat/>
    <w:rPr>
      <w:rFonts w:eastAsia="宋体"/>
      <w:b/>
      <w:bCs/>
      <w:sz w:val="32"/>
      <w:szCs w:val="44"/>
      <w:lang w:val="en-US" w:eastAsia="zh-CN" w:bidi="ar-SA"/>
    </w:rPr>
  </w:style>
  <w:style w:type="character" w:styleId="1162">
    <w:name w:val="Char Char181"/>
    <w:next w:val="1162"/>
    <w:link w:val="934"/>
    <w:qFormat/>
    <w:rPr>
      <w:b/>
      <w:bCs/>
      <w:sz w:val="44"/>
      <w:szCs w:val="44"/>
    </w:rPr>
  </w:style>
  <w:style w:type="character" w:styleId="1163">
    <w:name w:val="标题 Char_0"/>
    <w:next w:val="1163"/>
    <w:link w:val="1164"/>
    <w:qFormat/>
    <w:rPr>
      <w:rFonts w:ascii="黑体" w:hAnsi="Arial" w:eastAsia="黑体"/>
      <w:b/>
      <w:bCs/>
      <w:sz w:val="32"/>
      <w:szCs w:val="32"/>
    </w:rPr>
  </w:style>
  <w:style w:type="paragraph" w:styleId="1164">
    <w:name w:val="标题_0"/>
    <w:basedOn w:val="1165"/>
    <w:next w:val="1164"/>
    <w:link w:val="1163"/>
    <w:qFormat/>
    <w:pPr>
      <w:jc w:val="center"/>
      <w:spacing w:before="120" w:after="120" w:line="360" w:lineRule="auto"/>
      <w:outlineLvl w:val="0"/>
    </w:pPr>
    <w:rPr>
      <w:rFonts w:ascii="黑体" w:hAnsi="Arial" w:eastAsia="黑体"/>
      <w:b/>
      <w:bCs/>
      <w:sz w:val="32"/>
      <w:szCs w:val="32"/>
    </w:rPr>
  </w:style>
  <w:style w:type="paragraph" w:styleId="1165">
    <w:name w:val="正文_1"/>
    <w:next w:val="1165"/>
    <w:link w:val="934"/>
    <w:qFormat/>
    <w:rPr>
      <w:sz w:val="21"/>
      <w:szCs w:val="22"/>
      <w:lang w:val="en-US" w:eastAsia="zh-CN" w:bidi="ar-SA"/>
    </w:rPr>
  </w:style>
  <w:style w:type="character" w:styleId="1166">
    <w:name w:val="批注文字 Char3"/>
    <w:next w:val="1166"/>
    <w:link w:val="934"/>
    <w:qFormat/>
    <w:rPr>
      <w:sz w:val="21"/>
      <w:szCs w:val="24"/>
    </w:rPr>
  </w:style>
  <w:style w:type="character" w:styleId="1167">
    <w:name w:val="不明显参考1"/>
    <w:next w:val="1167"/>
    <w:link w:val="934"/>
    <w:qFormat/>
    <w:rPr>
      <w:smallCaps/>
      <w:color w:val="c0504d"/>
      <w:u w:val="single"/>
    </w:rPr>
  </w:style>
  <w:style w:type="character" w:styleId="1168">
    <w:name w:val="Char Char26"/>
    <w:next w:val="1168"/>
    <w:link w:val="934"/>
    <w:qFormat/>
    <w:rPr>
      <w:rFonts w:ascii="宋体" w:hAnsi="Arial" w:eastAsia="宋体" w:cs="Arial"/>
      <w:b/>
      <w:sz w:val="24"/>
      <w:szCs w:val="44"/>
      <w:lang w:val="en-US" w:eastAsia="zh-CN" w:bidi="ar-SA"/>
    </w:rPr>
  </w:style>
  <w:style w:type="character" w:styleId="1169">
    <w:name w:val="书籍标题1"/>
    <w:next w:val="1169"/>
    <w:link w:val="934"/>
    <w:qFormat/>
    <w:rPr>
      <w:b/>
      <w:bCs/>
      <w:smallCaps/>
      <w:spacing w:val="5"/>
    </w:rPr>
  </w:style>
  <w:style w:type="character" w:styleId="1170">
    <w:name w:val="明显强调1"/>
    <w:next w:val="1170"/>
    <w:link w:val="934"/>
    <w:qFormat/>
    <w:rPr>
      <w:b/>
      <w:bCs/>
      <w:i/>
      <w:iCs/>
      <w:color w:val="4f81bd"/>
    </w:rPr>
  </w:style>
  <w:style w:type="character" w:styleId="1171">
    <w:name w:val="Heading 5 Char"/>
    <w:next w:val="1171"/>
    <w:link w:val="934"/>
    <w:qFormat/>
    <w:rPr>
      <w:rFonts w:eastAsia="宋体"/>
      <w:b/>
      <w:bCs/>
      <w:sz w:val="28"/>
      <w:szCs w:val="28"/>
      <w:lang w:val="en-US" w:eastAsia="zh-CN" w:bidi="ar-SA"/>
    </w:rPr>
  </w:style>
  <w:style w:type="character" w:styleId="1172">
    <w:name w:val="Sample"/>
    <w:next w:val="1172"/>
    <w:link w:val="934"/>
    <w:qFormat/>
    <w:rPr>
      <w:rFonts w:ascii="Courier New" w:hAnsi="Courier New"/>
    </w:rPr>
  </w:style>
  <w:style w:type="character" w:styleId="1173">
    <w:name w:val="Comment"/>
    <w:next w:val="1173"/>
    <w:link w:val="934"/>
    <w:qFormat/>
    <w:rPr>
      <w:vanish/>
    </w:rPr>
  </w:style>
  <w:style w:type="character" w:styleId="1174">
    <w:name w:val="样式 Char"/>
    <w:next w:val="1174"/>
    <w:link w:val="1175"/>
    <w:qFormat/>
    <w:rPr>
      <w:rFonts w:ascii="宋体" w:hAnsi="宋体" w:cs="宋体"/>
      <w:sz w:val="24"/>
      <w:szCs w:val="24"/>
    </w:rPr>
  </w:style>
  <w:style w:type="paragraph" w:styleId="1175">
    <w:name w:val="样式"/>
    <w:next w:val="1175"/>
    <w:link w:val="1174"/>
    <w:qFormat/>
    <w:pPr>
      <w:widowControl w:val="off"/>
    </w:pPr>
    <w:rPr>
      <w:rFonts w:ascii="宋体" w:hAnsi="宋体" w:cs="宋体"/>
      <w:sz w:val="24"/>
      <w:szCs w:val="24"/>
      <w:lang w:val="en-US" w:eastAsia="zh-CN" w:bidi="ar-SA"/>
    </w:rPr>
  </w:style>
  <w:style w:type="character" w:styleId="1176">
    <w:name w:val="content1"/>
    <w:next w:val="1176"/>
    <w:link w:val="934"/>
    <w:qFormat/>
    <w:rPr>
      <w:rFonts w:ascii="Tahoma" w:hAnsi="Tahoma" w:cs="Tahoma"/>
      <w:sz w:val="21"/>
      <w:szCs w:val="21"/>
    </w:rPr>
  </w:style>
  <w:style w:type="character" w:styleId="1177">
    <w:name w:val="明显参考1"/>
    <w:next w:val="1177"/>
    <w:link w:val="934"/>
    <w:qFormat/>
    <w:rPr>
      <w:b/>
      <w:bCs/>
      <w:smallCaps/>
      <w:color w:val="c0504d"/>
      <w:spacing w:val="5"/>
      <w:u w:val="single"/>
    </w:rPr>
  </w:style>
  <w:style w:type="character" w:styleId="1178">
    <w:name w:val="标题 Char_1"/>
    <w:next w:val="1178"/>
    <w:link w:val="1179"/>
    <w:qFormat/>
    <w:rPr>
      <w:rFonts w:ascii="Cambria" w:hAnsi="Cambria"/>
      <w:b/>
      <w:bCs/>
      <w:sz w:val="32"/>
      <w:szCs w:val="32"/>
    </w:rPr>
  </w:style>
  <w:style w:type="paragraph" w:styleId="1179">
    <w:name w:val="标题_1"/>
    <w:basedOn w:val="1180"/>
    <w:next w:val="1180"/>
    <w:link w:val="1178"/>
    <w:qFormat/>
    <w:pPr>
      <w:jc w:val="center"/>
      <w:spacing w:before="240" w:after="60"/>
      <w:outlineLvl w:val="0"/>
    </w:pPr>
    <w:rPr>
      <w:rFonts w:ascii="Cambria" w:hAnsi="Cambria"/>
      <w:b/>
      <w:bCs/>
      <w:sz w:val="32"/>
      <w:szCs w:val="32"/>
    </w:rPr>
  </w:style>
  <w:style w:type="paragraph" w:styleId="1180">
    <w:name w:val="正文_2"/>
    <w:next w:val="1180"/>
    <w:link w:val="934"/>
    <w:qFormat/>
    <w:pPr>
      <w:jc w:val="both"/>
      <w:widowControl w:val="off"/>
    </w:pPr>
    <w:rPr>
      <w:rFonts w:ascii="Calibri" w:hAnsi="Calibri"/>
      <w:sz w:val="21"/>
      <w:szCs w:val="22"/>
      <w:lang w:val="en-US" w:eastAsia="zh-CN" w:bidi="ar-SA"/>
    </w:rPr>
  </w:style>
  <w:style w:type="character" w:styleId="1181">
    <w:name w:val="Balloon Text Char"/>
    <w:next w:val="1181"/>
    <w:link w:val="934"/>
    <w:qFormat/>
    <w:rPr>
      <w:sz w:val="18"/>
      <w:lang w:bidi="ar-SA"/>
    </w:rPr>
  </w:style>
  <w:style w:type="character" w:styleId="1182">
    <w:name w:val="HTML Markup"/>
    <w:next w:val="1182"/>
    <w:link w:val="934"/>
    <w:qFormat/>
    <w:rPr>
      <w:vanish/>
      <w:color w:val="ff0000"/>
    </w:rPr>
  </w:style>
  <w:style w:type="character" w:styleId="1183">
    <w:name w:val="标题 2 Char1"/>
    <w:next w:val="1183"/>
    <w:link w:val="934"/>
    <w:qFormat/>
    <w:rPr>
      <w:rFonts w:ascii="Arial" w:hAnsi="Arial" w:eastAsia="黑体" w:cs="Calibri"/>
      <w:b/>
      <w:sz w:val="32"/>
      <w:szCs w:val="20"/>
    </w:rPr>
  </w:style>
  <w:style w:type="character" w:styleId="1184">
    <w:name w:val="Char Char18"/>
    <w:next w:val="1184"/>
    <w:link w:val="934"/>
    <w:qFormat/>
    <w:rPr>
      <w:rFonts w:ascii="Times New Roman" w:hAnsi="Times New Roman" w:eastAsia="宋体" w:cs="Times New Roman"/>
      <w:b/>
      <w:bCs/>
      <w:sz w:val="28"/>
      <w:szCs w:val="28"/>
    </w:rPr>
  </w:style>
  <w:style w:type="character" w:styleId="1185">
    <w:name w:val="Variable"/>
    <w:next w:val="1185"/>
    <w:link w:val="934"/>
    <w:qFormat/>
    <w:rPr>
      <w:i/>
    </w:rPr>
  </w:style>
  <w:style w:type="character" w:styleId="1186">
    <w:name w:val="Typewriter"/>
    <w:next w:val="1186"/>
    <w:link w:val="934"/>
    <w:qFormat/>
    <w:rPr>
      <w:rFonts w:ascii="Courier New" w:hAnsi="Courier New"/>
      <w:sz w:val="20"/>
    </w:rPr>
  </w:style>
  <w:style w:type="character" w:styleId="1187">
    <w:name w:val="超链接_0"/>
    <w:next w:val="1187"/>
    <w:link w:val="934"/>
    <w:uiPriority w:val="99"/>
    <w:qFormat/>
    <w:rPr>
      <w:rFonts w:ascii="Calibri" w:hAnsi="Calibri" w:cs="Times New Roman"/>
      <w:color w:val="0000ff"/>
      <w:u w:val="single"/>
    </w:rPr>
  </w:style>
  <w:style w:type="character" w:styleId="1188">
    <w:name w:val="Char Char3"/>
    <w:next w:val="1188"/>
    <w:link w:val="934"/>
    <w:qFormat/>
    <w:rPr>
      <w:rFonts w:ascii="黑体" w:hAnsi="宋体" w:eastAsia="黑体" w:cs="Arial"/>
      <w:b/>
      <w:bCs/>
      <w:sz w:val="24"/>
      <w:szCs w:val="24"/>
      <w:lang w:val="en-US" w:eastAsia="zh-CN" w:bidi="ar-SA"/>
    </w:rPr>
  </w:style>
  <w:style w:type="character" w:styleId="1189">
    <w:name w:val="标题 2 Char_1"/>
    <w:next w:val="1189"/>
    <w:link w:val="1190"/>
    <w:qFormat/>
    <w:rPr>
      <w:rFonts w:ascii="黑体" w:hAnsi="宋体" w:eastAsia="黑体"/>
      <w:b/>
      <w:bCs/>
      <w:sz w:val="30"/>
      <w:szCs w:val="30"/>
    </w:rPr>
  </w:style>
  <w:style w:type="paragraph" w:styleId="1190">
    <w:name w:val="标题 2_1"/>
    <w:basedOn w:val="1179"/>
    <w:next w:val="1180"/>
    <w:link w:val="1189"/>
    <w:unhideWhenUsed/>
    <w:qFormat/>
    <w:pPr>
      <w:keepLines/>
      <w:keepNext/>
      <w:spacing w:before="120" w:after="120" w:line="360" w:lineRule="auto"/>
      <w:outlineLvl w:val="1"/>
    </w:pPr>
    <w:rPr>
      <w:rFonts w:ascii="黑体" w:hAnsi="宋体" w:eastAsia="黑体"/>
      <w:sz w:val="30"/>
      <w:szCs w:val="30"/>
    </w:rPr>
  </w:style>
  <w:style w:type="character" w:styleId="1191">
    <w:name w:val="脚注文本 Char1"/>
    <w:next w:val="1191"/>
    <w:link w:val="934"/>
    <w:qFormat/>
    <w:rPr>
      <w:sz w:val="18"/>
      <w:szCs w:val="18"/>
    </w:rPr>
  </w:style>
  <w:style w:type="character" w:styleId="1192">
    <w:name w:val="Comment Text Char1"/>
    <w:next w:val="1192"/>
    <w:link w:val="934"/>
    <w:qFormat/>
    <w:rPr>
      <w:sz w:val="24"/>
      <w:lang w:bidi="ar-SA"/>
    </w:rPr>
  </w:style>
  <w:style w:type="character" w:styleId="1193">
    <w:name w:val="不明显强调1"/>
    <w:next w:val="1193"/>
    <w:link w:val="934"/>
    <w:qFormat/>
    <w:rPr>
      <w:i/>
      <w:iCs/>
      <w:color w:val="808080"/>
    </w:rPr>
  </w:style>
  <w:style w:type="character" w:styleId="1194">
    <w:name w:val="正文文本 Char2"/>
    <w:next w:val="1194"/>
    <w:link w:val="934"/>
    <w:qFormat/>
    <w:rPr>
      <w:sz w:val="21"/>
      <w:szCs w:val="24"/>
    </w:rPr>
  </w:style>
  <w:style w:type="character" w:styleId="1195">
    <w:name w:val="Comment Text Char"/>
    <w:next w:val="1195"/>
    <w:link w:val="934"/>
    <w:qFormat/>
    <w:rPr>
      <w:rFonts w:cs="Times New Roman"/>
      <w:sz w:val="24"/>
      <w:szCs w:val="24"/>
    </w:rPr>
  </w:style>
  <w:style w:type="character" w:styleId="1196">
    <w:name w:val="批注框文本 Char1"/>
    <w:next w:val="1196"/>
    <w:link w:val="934"/>
    <w:qFormat/>
    <w:rPr>
      <w:rFonts w:ascii="Times New Roman" w:hAnsi="Times New Roman" w:eastAsia="宋体" w:cs="Times New Roman"/>
      <w:sz w:val="18"/>
      <w:szCs w:val="18"/>
    </w:rPr>
  </w:style>
  <w:style w:type="character" w:styleId="1197">
    <w:name w:val="Char Char21"/>
    <w:next w:val="1197"/>
    <w:link w:val="934"/>
    <w:qFormat/>
    <w:rPr>
      <w:rFonts w:ascii="Arial" w:hAnsi="Arial" w:eastAsia="黑体" w:cs="Times New Roman"/>
      <w:b/>
      <w:bCs/>
      <w:sz w:val="32"/>
      <w:szCs w:val="32"/>
    </w:rPr>
  </w:style>
  <w:style w:type="character" w:styleId="1198">
    <w:name w:val="CODE"/>
    <w:next w:val="1198"/>
    <w:link w:val="934"/>
    <w:qFormat/>
    <w:rPr>
      <w:rFonts w:ascii="Courier New" w:hAnsi="Courier New"/>
      <w:sz w:val="20"/>
    </w:rPr>
  </w:style>
  <w:style w:type="character" w:styleId="1199">
    <w:name w:val="纯文本 Char2"/>
    <w:next w:val="1199"/>
    <w:link w:val="934"/>
    <w:qFormat/>
    <w:rPr>
      <w:rFonts w:ascii="宋体" w:hAnsi="Courier New" w:cs="Courier New"/>
      <w:sz w:val="21"/>
      <w:szCs w:val="21"/>
    </w:rPr>
  </w:style>
  <w:style w:type="character" w:styleId="1200">
    <w:name w:val="Footnote Text Char"/>
    <w:next w:val="1200"/>
    <w:link w:val="934"/>
    <w:qFormat/>
    <w:rPr>
      <w:rFonts w:eastAsia="宋体"/>
      <w:sz w:val="18"/>
      <w:lang w:val="en-US" w:eastAsia="zh-CN" w:bidi="ar-SA"/>
    </w:rPr>
  </w:style>
  <w:style w:type="character" w:styleId="1201">
    <w:name w:val="样式 标题 3 + (中文) 黑体 小四 非加粗 段前: 7.8 磅 段后: 0 磅 行距: 固定值 20 磅 Char"/>
    <w:next w:val="1201"/>
    <w:link w:val="934"/>
    <w:qFormat/>
    <w:rPr>
      <w:rFonts w:ascii="黑体" w:hAnsi="宋体" w:eastAsia="黑体" w:cs="宋体"/>
      <w:b/>
      <w:bCs/>
      <w:sz w:val="24"/>
      <w:lang w:val="en-US" w:eastAsia="zh-CN" w:bidi="ar-SA"/>
    </w:rPr>
  </w:style>
  <w:style w:type="character" w:styleId="1202">
    <w:name w:val="Char Char1"/>
    <w:next w:val="1202"/>
    <w:link w:val="934"/>
    <w:qFormat/>
    <w:rPr>
      <w:rFonts w:ascii="黑体" w:hAnsi="Arial" w:eastAsia="黑体" w:cs="Arial"/>
      <w:b/>
      <w:bCs/>
      <w:sz w:val="32"/>
      <w:szCs w:val="32"/>
      <w:lang w:val="en-US" w:eastAsia="zh-CN" w:bidi="ar-SA"/>
    </w:rPr>
  </w:style>
  <w:style w:type="character" w:styleId="1203">
    <w:name w:val="Heading 3 Char"/>
    <w:next w:val="1203"/>
    <w:link w:val="934"/>
    <w:qFormat/>
    <w:rPr>
      <w:rFonts w:cs="Times New Roman"/>
      <w:b/>
      <w:bCs/>
      <w:sz w:val="32"/>
      <w:szCs w:val="32"/>
    </w:rPr>
  </w:style>
  <w:style w:type="character" w:styleId="1204">
    <w:name w:val="Char Char22"/>
    <w:next w:val="1204"/>
    <w:link w:val="934"/>
    <w:qFormat/>
    <w:rPr>
      <w:rFonts w:ascii="Times New Roman" w:hAnsi="Times New Roman" w:eastAsia="宋体" w:cs="Times New Roman"/>
      <w:b/>
      <w:bCs/>
      <w:sz w:val="32"/>
      <w:szCs w:val="44"/>
    </w:rPr>
  </w:style>
  <w:style w:type="character" w:styleId="1205">
    <w:name w:val="Heading 1 Char"/>
    <w:next w:val="1205"/>
    <w:link w:val="934"/>
    <w:qFormat/>
    <w:rPr>
      <w:rFonts w:eastAsia="宋体"/>
      <w:b/>
      <w:bCs/>
      <w:sz w:val="32"/>
      <w:szCs w:val="44"/>
      <w:lang w:val="en-US" w:eastAsia="zh-CN" w:bidi="ar-SA"/>
    </w:rPr>
  </w:style>
  <w:style w:type="character" w:styleId="1206">
    <w:name w:val="正文缩进 Char1"/>
    <w:next w:val="1206"/>
    <w:link w:val="934"/>
    <w:qFormat/>
    <w:rPr>
      <w:rFonts w:eastAsia="楷体_GB2312"/>
      <w:sz w:val="24"/>
    </w:rPr>
  </w:style>
  <w:style w:type="character" w:styleId="1207">
    <w:name w:val="Document Map Char"/>
    <w:next w:val="1207"/>
    <w:link w:val="934"/>
    <w:qFormat/>
    <w:rPr>
      <w:rFonts w:eastAsia="宋体"/>
      <w:sz w:val="21"/>
      <w:szCs w:val="24"/>
      <w:lang w:val="en-US" w:eastAsia="zh-CN" w:bidi="ar-SA"/>
    </w:rPr>
  </w:style>
  <w:style w:type="character" w:styleId="1208">
    <w:name w:val="批注主题 Char2"/>
    <w:next w:val="1208"/>
    <w:link w:val="934"/>
    <w:qFormat/>
    <w:rPr>
      <w:b/>
      <w:bCs/>
      <w:szCs w:val="24"/>
    </w:rPr>
  </w:style>
  <w:style w:type="character" w:styleId="1209">
    <w:name w:val="Char Char6"/>
    <w:next w:val="1209"/>
    <w:link w:val="934"/>
    <w:qFormat/>
    <w:rPr>
      <w:rFonts w:eastAsia="宋体"/>
      <w:b/>
      <w:bCs/>
      <w:sz w:val="32"/>
      <w:szCs w:val="44"/>
      <w:lang w:val="en-US" w:eastAsia="zh-CN" w:bidi="ar-SA"/>
    </w:rPr>
  </w:style>
  <w:style w:type="character" w:styleId="1210">
    <w:name w:val="Char Char19"/>
    <w:next w:val="1210"/>
    <w:link w:val="934"/>
    <w:qFormat/>
    <w:rPr>
      <w:rFonts w:ascii="Arial" w:hAnsi="Arial" w:eastAsia="宋体" w:cs="Times New Roman"/>
      <w:b/>
      <w:bCs/>
      <w:szCs w:val="28"/>
    </w:rPr>
  </w:style>
  <w:style w:type="character" w:styleId="1211">
    <w:name w:val="Plain Text Char"/>
    <w:next w:val="1211"/>
    <w:link w:val="934"/>
    <w:qFormat/>
    <w:rPr>
      <w:rFonts w:ascii="宋体" w:hAnsi="Courier New" w:eastAsia="宋体"/>
      <w:sz w:val="24"/>
      <w:lang w:bidi="ar-SA"/>
    </w:rPr>
  </w:style>
  <w:style w:type="character" w:styleId="1212">
    <w:name w:val="无间隔 Char"/>
    <w:next w:val="1212"/>
    <w:link w:val="1213"/>
    <w:qFormat/>
    <w:rPr>
      <w:szCs w:val="24"/>
    </w:rPr>
  </w:style>
  <w:style w:type="paragraph" w:styleId="1213">
    <w:name w:val="无间隔"/>
    <w:next w:val="1213"/>
    <w:link w:val="1212"/>
    <w:qFormat/>
    <w:pPr>
      <w:jc w:val="both"/>
      <w:widowControl w:val="off"/>
    </w:pPr>
    <w:rPr>
      <w:szCs w:val="24"/>
      <w:lang w:val="en-US" w:eastAsia="zh-CN" w:bidi="ar-SA"/>
    </w:rPr>
  </w:style>
  <w:style w:type="character" w:styleId="1214">
    <w:name w:val="标题 Char3"/>
    <w:next w:val="1214"/>
    <w:link w:val="934"/>
    <w:qFormat/>
    <w:rPr>
      <w:rFonts w:ascii="Cambria" w:hAnsi="Cambria" w:cs="Times New Roman"/>
      <w:b/>
      <w:bCs/>
      <w:sz w:val="32"/>
      <w:szCs w:val="32"/>
    </w:rPr>
  </w:style>
  <w:style w:type="character" w:styleId="1215">
    <w:name w:val="批注文字 Char2"/>
    <w:next w:val="1215"/>
    <w:link w:val="934"/>
    <w:qFormat/>
    <w:rPr>
      <w:rFonts w:eastAsia="宋体"/>
      <w:sz w:val="21"/>
      <w:szCs w:val="24"/>
      <w:lang w:val="en-US" w:eastAsia="zh-CN" w:bidi="ar-SA"/>
    </w:rPr>
  </w:style>
  <w:style w:type="character" w:styleId="1216">
    <w:name w:val="正文文本 3 Char1"/>
    <w:next w:val="1216"/>
    <w:link w:val="934"/>
    <w:uiPriority w:val="99"/>
    <w:qFormat/>
    <w:rPr>
      <w:rFonts w:eastAsia="楷体_GB2312"/>
      <w:sz w:val="16"/>
      <w:szCs w:val="16"/>
    </w:rPr>
  </w:style>
  <w:style w:type="character" w:styleId="1217">
    <w:name w:val="Char Char23"/>
    <w:next w:val="1217"/>
    <w:link w:val="934"/>
    <w:qFormat/>
    <w:rPr>
      <w:rFonts w:eastAsia="宋体"/>
      <w:b/>
      <w:bCs/>
      <w:sz w:val="32"/>
      <w:szCs w:val="44"/>
      <w:lang w:val="en-US" w:eastAsia="zh-CN" w:bidi="ar-SA"/>
    </w:rPr>
  </w:style>
  <w:style w:type="character" w:styleId="1218">
    <w:name w:val="标题 1 Char1"/>
    <w:next w:val="1218"/>
    <w:link w:val="934"/>
    <w:qFormat/>
    <w:rPr>
      <w:rFonts w:ascii="Calibri" w:hAnsi="Calibri" w:eastAsia="宋体" w:cs="Arial"/>
      <w:b/>
      <w:sz w:val="44"/>
      <w:szCs w:val="20"/>
    </w:rPr>
  </w:style>
  <w:style w:type="character" w:styleId="1219">
    <w:name w:val="文档结构图 Char1"/>
    <w:next w:val="1219"/>
    <w:link w:val="934"/>
    <w:qFormat/>
    <w:rPr>
      <w:rFonts w:ascii="宋体"/>
      <w:sz w:val="18"/>
      <w:szCs w:val="18"/>
    </w:rPr>
  </w:style>
  <w:style w:type="character" w:styleId="1220">
    <w:name w:val="正文首行缩进 2 Char1"/>
    <w:next w:val="1220"/>
    <w:link w:val="934"/>
    <w:uiPriority w:val="99"/>
    <w:qFormat/>
    <w:rPr>
      <w:rFonts w:ascii="方正仿宋简体" w:hAnsi="创艺简仿宋" w:eastAsia="楷体_GB2312"/>
      <w:sz w:val="26"/>
    </w:rPr>
  </w:style>
  <w:style w:type="character" w:styleId="1221">
    <w:name w:val="Comment Subject Char"/>
    <w:next w:val="1221"/>
    <w:link w:val="934"/>
    <w:qFormat/>
    <w:rPr>
      <w:b/>
      <w:sz w:val="24"/>
      <w:lang w:bidi="ar-SA"/>
    </w:rPr>
  </w:style>
  <w:style w:type="character" w:styleId="1222">
    <w:name w:val="Definition"/>
    <w:next w:val="1222"/>
    <w:link w:val="934"/>
    <w:qFormat/>
    <w:rPr>
      <w:i/>
    </w:rPr>
  </w:style>
  <w:style w:type="character" w:styleId="1223">
    <w:name w:val="Title Char"/>
    <w:next w:val="1223"/>
    <w:link w:val="934"/>
    <w:qFormat/>
    <w:rPr>
      <w:rFonts w:ascii="Cambria" w:hAnsi="Cambria"/>
      <w:b/>
      <w:sz w:val="32"/>
      <w:lang w:bidi="ar-SA"/>
    </w:rPr>
  </w:style>
  <w:style w:type="character" w:styleId="1224">
    <w:name w:val="标题 2 Char_0"/>
    <w:next w:val="1224"/>
    <w:link w:val="1225"/>
    <w:qFormat/>
    <w:rPr>
      <w:rFonts w:ascii="Calibri" w:hAnsi="Calibri"/>
    </w:rPr>
  </w:style>
  <w:style w:type="paragraph" w:styleId="1225">
    <w:name w:val="标题 2_0"/>
    <w:basedOn w:val="934"/>
    <w:next w:val="1225"/>
    <w:link w:val="1224"/>
    <w:qFormat/>
    <w:rPr>
      <w:rFonts w:ascii="Calibri" w:hAnsi="Calibri" w:eastAsia="宋体"/>
      <w:sz w:val="20"/>
    </w:rPr>
  </w:style>
  <w:style w:type="character" w:styleId="1226">
    <w:name w:val="Header Char"/>
    <w:next w:val="1226"/>
    <w:link w:val="934"/>
    <w:qFormat/>
    <w:rPr>
      <w:rFonts w:eastAsia="宋体"/>
      <w:sz w:val="18"/>
      <w:szCs w:val="18"/>
      <w:lang w:val="en-US" w:eastAsia="zh-CN" w:bidi="ar-SA"/>
    </w:rPr>
  </w:style>
  <w:style w:type="character" w:styleId="1227">
    <w:name w:val="Keyboard"/>
    <w:next w:val="1227"/>
    <w:link w:val="934"/>
    <w:qFormat/>
    <w:rPr>
      <w:rFonts w:ascii="Courier New" w:hAnsi="Courier New"/>
      <w:b/>
      <w:sz w:val="20"/>
    </w:rPr>
  </w:style>
  <w:style w:type="character" w:styleId="1228">
    <w:name w:val="标题 3 Char1"/>
    <w:next w:val="1228"/>
    <w:link w:val="934"/>
    <w:qFormat/>
    <w:rPr>
      <w:rFonts w:ascii="Calibri" w:hAnsi="Calibri" w:eastAsia="宋体" w:cs="Arial"/>
      <w:b/>
      <w:sz w:val="32"/>
      <w:szCs w:val="20"/>
    </w:rPr>
  </w:style>
  <w:style w:type="character" w:styleId="1229">
    <w:name w:val="Heading 3 Char1"/>
    <w:next w:val="1229"/>
    <w:link w:val="934"/>
    <w:qFormat/>
    <w:rPr>
      <w:rFonts w:eastAsia="宋体"/>
      <w:b/>
      <w:bCs/>
      <w:sz w:val="24"/>
      <w:szCs w:val="32"/>
      <w:lang w:val="en-US" w:eastAsia="zh-CN" w:bidi="ar-SA"/>
    </w:rPr>
  </w:style>
  <w:style w:type="paragraph" w:styleId="1230">
    <w:name w:val="正文_0"/>
    <w:next w:val="1230"/>
    <w:link w:val="934"/>
    <w:qFormat/>
    <w:pPr>
      <w:jc w:val="both"/>
      <w:widowControl w:val="off"/>
    </w:pPr>
    <w:rPr>
      <w:rFonts w:ascii="Calibri" w:hAnsi="Calibri"/>
      <w:sz w:val="21"/>
      <w:szCs w:val="22"/>
      <w:lang w:val="en-US" w:eastAsia="zh-CN" w:bidi="ar-SA"/>
    </w:rPr>
  </w:style>
  <w:style w:type="character" w:styleId="1231">
    <w:name w:val="正文文本 Char3"/>
    <w:next w:val="1231"/>
    <w:link w:val="934"/>
    <w:uiPriority w:val="99"/>
    <w:qFormat/>
    <w:rPr>
      <w:sz w:val="21"/>
      <w:szCs w:val="24"/>
    </w:rPr>
  </w:style>
  <w:style w:type="character" w:styleId="1232">
    <w:name w:val="批注文字 Char4"/>
    <w:next w:val="1232"/>
    <w:link w:val="934"/>
    <w:uiPriority w:val="99"/>
    <w:semiHidden/>
    <w:qFormat/>
    <w:rPr>
      <w:rFonts w:ascii="Times New Roman" w:hAnsi="Times New Roman" w:eastAsia="宋体" w:cs="Times New Roman"/>
      <w:szCs w:val="24"/>
    </w:rPr>
  </w:style>
  <w:style w:type="character" w:styleId="1233">
    <w:name w:val="标题 Char4"/>
    <w:next w:val="1233"/>
    <w:link w:val="934"/>
    <w:uiPriority w:val="10"/>
    <w:qFormat/>
    <w:rPr>
      <w:rFonts w:ascii="Cambria" w:hAnsi="Cambria" w:cs="Times New Roman"/>
      <w:b/>
      <w:bCs/>
      <w:sz w:val="32"/>
      <w:szCs w:val="32"/>
    </w:rPr>
  </w:style>
  <w:style w:type="character" w:styleId="1234">
    <w:name w:val="文档结构图 Char2"/>
    <w:next w:val="1234"/>
    <w:link w:val="934"/>
    <w:uiPriority w:val="99"/>
    <w:qFormat/>
    <w:rPr>
      <w:rFonts w:ascii="宋体"/>
      <w:sz w:val="18"/>
      <w:szCs w:val="18"/>
    </w:rPr>
  </w:style>
  <w:style w:type="character" w:styleId="1235">
    <w:name w:val="脚注文本 Char2"/>
    <w:next w:val="1235"/>
    <w:link w:val="934"/>
    <w:uiPriority w:val="99"/>
    <w:qFormat/>
    <w:rPr>
      <w:sz w:val="18"/>
      <w:szCs w:val="18"/>
    </w:rPr>
  </w:style>
  <w:style w:type="paragraph" w:styleId="1236">
    <w:name w:val="z-Top of Form"/>
    <w:next w:val="934"/>
    <w:link w:val="934"/>
    <w:qFormat/>
    <w:pPr>
      <w:jc w:val="center"/>
      <w:widowControl w:val="off"/>
      <w:pBdr>
        <w:bottom w:val="single" w:color="000000" w:sz="2" w:space="0"/>
      </w:pBdr>
    </w:pPr>
    <w:rPr>
      <w:rFonts w:ascii="Arial" w:hAnsi="Arial"/>
      <w:vanish/>
      <w:sz w:val="16"/>
      <w:lang w:val="en-US" w:eastAsia="zh-CN" w:bidi="ar-SA"/>
    </w:rPr>
  </w:style>
  <w:style w:type="paragraph" w:styleId="1237">
    <w:name w:val="样式1"/>
    <w:basedOn w:val="934"/>
    <w:next w:val="938"/>
    <w:link w:val="934"/>
    <w:qFormat/>
    <w:pPr>
      <w:ind w:firstLine="420"/>
      <w:spacing w:line="360" w:lineRule="auto"/>
    </w:pPr>
    <w:rPr>
      <w:rFonts w:ascii="宋体" w:hAnsi="宋体" w:eastAsia="宋体"/>
      <w:sz w:val="21"/>
      <w:szCs w:val="21"/>
    </w:rPr>
  </w:style>
  <w:style w:type="paragraph" w:styleId="1238">
    <w:name w:val="TOC 标题_0"/>
    <w:basedOn w:val="1239"/>
    <w:next w:val="1230"/>
    <w:link w:val="934"/>
    <w:qFormat/>
    <w:pPr>
      <w:outlineLvl w:val="9"/>
    </w:pPr>
    <w:rPr>
      <w:rFonts w:ascii="Calibri" w:hAnsi="Calibri"/>
    </w:rPr>
  </w:style>
  <w:style w:type="paragraph" w:styleId="1239">
    <w:name w:val="标题 1_0"/>
    <w:basedOn w:val="1230"/>
    <w:next w:val="1240"/>
    <w:link w:val="934"/>
    <w:qFormat/>
    <w:pPr>
      <w:keepLines/>
      <w:keepNext/>
      <w:spacing w:before="340" w:after="330" w:line="576" w:lineRule="auto"/>
      <w:outlineLvl w:val="0"/>
    </w:pPr>
    <w:rPr>
      <w:rFonts w:ascii="Times New Roman" w:hAnsi="Times New Roman"/>
      <w:b/>
      <w:bCs/>
      <w:sz w:val="44"/>
      <w:szCs w:val="44"/>
    </w:rPr>
  </w:style>
  <w:style w:type="paragraph" w:styleId="1240">
    <w:name w:val="正文_1_0_0"/>
    <w:next w:val="1240"/>
    <w:link w:val="934"/>
    <w:uiPriority w:val="99"/>
    <w:qFormat/>
    <w:pPr>
      <w:jc w:val="both"/>
      <w:widowControl w:val="off"/>
    </w:pPr>
    <w:rPr>
      <w:sz w:val="21"/>
      <w:szCs w:val="22"/>
      <w:lang w:val="en-US" w:eastAsia="zh-CN" w:bidi="ar-SA"/>
    </w:rPr>
  </w:style>
  <w:style w:type="paragraph" w:styleId="1241">
    <w:name w:val="样式 标题 3 + (中文) 黑体 小四 非加粗 段前: 7.8 磅 段后: 0 磅 行距: 固定值 20 磅"/>
    <w:basedOn w:val="937"/>
    <w:next w:val="1241"/>
    <w:link w:val="934"/>
    <w:qFormat/>
    <w:pPr>
      <w:jc w:val="both"/>
      <w:spacing w:line="400" w:lineRule="exact"/>
    </w:pPr>
    <w:rPr>
      <w:rFonts w:eastAsia="黑体" w:cs="宋体"/>
      <w:b w:val="0"/>
      <w:sz w:val="21"/>
    </w:rPr>
  </w:style>
  <w:style w:type="character" w:styleId="1242">
    <w:name w:val="正文文本 2 Char1"/>
    <w:next w:val="1242"/>
    <w:link w:val="934"/>
    <w:uiPriority w:val="99"/>
    <w:qFormat/>
    <w:rPr>
      <w:sz w:val="21"/>
      <w:szCs w:val="24"/>
    </w:rPr>
  </w:style>
  <w:style w:type="paragraph" w:styleId="1243">
    <w:name w:val="Blockquote"/>
    <w:basedOn w:val="934"/>
    <w:next w:val="1243"/>
    <w:link w:val="934"/>
    <w:qFormat/>
    <w:pPr>
      <w:ind w:left="360" w:right="360"/>
      <w:jc w:val="left"/>
      <w:spacing w:before="100" w:after="100"/>
    </w:pPr>
    <w:rPr>
      <w:rFonts w:ascii="Calibri" w:hAnsi="Calibri" w:eastAsia="宋体"/>
      <w:sz w:val="24"/>
    </w:rPr>
  </w:style>
  <w:style w:type="paragraph" w:styleId="1244">
    <w:name w:val="标题 3_0"/>
    <w:basedOn w:val="1230"/>
    <w:next w:val="1230"/>
    <w:link w:val="934"/>
    <w:qFormat/>
    <w:pPr>
      <w:keepLines/>
      <w:keepNext/>
      <w:spacing w:before="260" w:after="260" w:line="413" w:lineRule="auto"/>
      <w:outlineLvl w:val="2"/>
    </w:pPr>
    <w:rPr>
      <w:rFonts w:ascii="Times New Roman" w:hAnsi="Times New Roman"/>
      <w:b/>
      <w:bCs/>
      <w:sz w:val="32"/>
      <w:szCs w:val="32"/>
    </w:rPr>
  </w:style>
  <w:style w:type="paragraph" w:styleId="1245">
    <w:name w:val="表格"/>
    <w:basedOn w:val="934"/>
    <w:next w:val="1245"/>
    <w:link w:val="934"/>
    <w:qFormat/>
    <w:pPr>
      <w:jc w:val="center"/>
    </w:pPr>
    <w:rPr>
      <w:rFonts w:ascii="华文细黑" w:hAnsi="华文细黑" w:eastAsia="宋体"/>
      <w:sz w:val="21"/>
    </w:rPr>
  </w:style>
  <w:style w:type="character" w:styleId="1246">
    <w:name w:val="明显引用 Char3"/>
    <w:next w:val="1246"/>
    <w:link w:val="934"/>
    <w:uiPriority w:val="30"/>
    <w:qFormat/>
    <w:rPr>
      <w:b/>
      <w:bCs/>
      <w:i/>
      <w:iCs/>
      <w:color w:val="4f81bd"/>
      <w:sz w:val="21"/>
      <w:szCs w:val="24"/>
    </w:rPr>
  </w:style>
  <w:style w:type="paragraph" w:styleId="1247">
    <w:name w:val="Definition List"/>
    <w:basedOn w:val="934"/>
    <w:next w:val="1248"/>
    <w:link w:val="934"/>
    <w:qFormat/>
    <w:pPr>
      <w:ind w:left="360"/>
      <w:jc w:val="left"/>
    </w:pPr>
    <w:rPr>
      <w:rFonts w:ascii="Calibri" w:hAnsi="Calibri" w:eastAsia="宋体"/>
      <w:sz w:val="24"/>
    </w:rPr>
  </w:style>
  <w:style w:type="paragraph" w:styleId="1248">
    <w:name w:val="Definition Term"/>
    <w:basedOn w:val="934"/>
    <w:next w:val="1247"/>
    <w:link w:val="934"/>
    <w:qFormat/>
    <w:pPr>
      <w:jc w:val="left"/>
    </w:pPr>
    <w:rPr>
      <w:rFonts w:ascii="Calibri" w:hAnsi="Calibri" w:eastAsia="宋体"/>
      <w:sz w:val="24"/>
    </w:rPr>
  </w:style>
  <w:style w:type="paragraph" w:styleId="1249">
    <w:name w:val="st4.5"/>
    <w:next w:val="1249"/>
    <w:link w:val="934"/>
    <w:uiPriority w:val="99"/>
    <w:qFormat/>
    <w:pPr>
      <w:ind w:firstLine="426"/>
      <w:jc w:val="both"/>
      <w:spacing w:line="360" w:lineRule="auto"/>
      <w:widowControl w:val="off"/>
    </w:pPr>
    <w:rPr>
      <w:rFonts w:ascii="仿宋_GB2312" w:eastAsia="仿宋_GB2312" w:cs="仿宋_GB2312"/>
      <w:sz w:val="28"/>
      <w:szCs w:val="28"/>
      <w:lang w:val="en-US" w:eastAsia="zh-CN" w:bidi="ar-SA"/>
    </w:rPr>
  </w:style>
  <w:style w:type="paragraph" w:styleId="1250">
    <w:name w:val="1"/>
    <w:basedOn w:val="934"/>
    <w:next w:val="934"/>
    <w:link w:val="934"/>
    <w:qFormat/>
    <w:rPr>
      <w:rFonts w:eastAsia="宋体"/>
      <w:sz w:val="21"/>
      <w:szCs w:val="24"/>
    </w:rPr>
  </w:style>
  <w:style w:type="paragraph" w:styleId="1251">
    <w:name w:val="样式 (西文) 仿宋_GB2312 居中 行距: 1.5 倍行距"/>
    <w:basedOn w:val="934"/>
    <w:next w:val="1251"/>
    <w:link w:val="934"/>
    <w:qFormat/>
    <w:pPr>
      <w:jc w:val="center"/>
      <w:spacing w:line="360" w:lineRule="auto"/>
    </w:pPr>
    <w:rPr>
      <w:rFonts w:ascii="宋体" w:hAnsi="宋体" w:eastAsia="宋体" w:cs="宋体"/>
      <w:sz w:val="21"/>
    </w:rPr>
  </w:style>
  <w:style w:type="paragraph" w:styleId="1252">
    <w:name w:val="正文缩进_0"/>
    <w:basedOn w:val="1165"/>
    <w:next w:val="1252"/>
    <w:link w:val="934"/>
    <w:qFormat/>
    <w:pPr>
      <w:ind w:firstLine="420"/>
      <w:jc w:val="both"/>
      <w:widowControl w:val="off"/>
    </w:pPr>
    <w:rPr>
      <w:u w:val="single"/>
    </w:rPr>
  </w:style>
  <w:style w:type="paragraph" w:styleId="1253">
    <w:name w:val="标题 4_0"/>
    <w:basedOn w:val="1240"/>
    <w:next w:val="1240"/>
    <w:link w:val="934"/>
    <w:qFormat/>
    <w:pPr>
      <w:keepLines/>
      <w:keepNext/>
      <w:spacing w:before="280" w:after="290" w:line="372" w:lineRule="auto"/>
      <w:outlineLvl w:val="3"/>
    </w:pPr>
    <w:rPr>
      <w:rFonts w:ascii="Cambria" w:hAnsi="Cambria"/>
      <w:b/>
      <w:bCs/>
      <w:sz w:val="28"/>
      <w:szCs w:val="28"/>
    </w:rPr>
  </w:style>
  <w:style w:type="paragraph" w:styleId="1254">
    <w:name w:val="H2"/>
    <w:basedOn w:val="934"/>
    <w:next w:val="934"/>
    <w:link w:val="934"/>
    <w:qFormat/>
    <w:pPr>
      <w:jc w:val="left"/>
      <w:keepNext/>
      <w:spacing w:before="100" w:after="100"/>
      <w:outlineLvl w:val="2"/>
    </w:pPr>
    <w:rPr>
      <w:rFonts w:ascii="Calibri" w:hAnsi="Calibri" w:eastAsia="宋体"/>
      <w:b/>
      <w:sz w:val="36"/>
    </w:rPr>
  </w:style>
  <w:style w:type="paragraph" w:styleId="1255">
    <w:name w:val="flNote"/>
    <w:basedOn w:val="934"/>
    <w:next w:val="1255"/>
    <w:link w:val="934"/>
    <w:qFormat/>
    <w:pPr>
      <w:jc w:val="center"/>
      <w:spacing w:before="320" w:after="160" w:line="360" w:lineRule="atLeast"/>
    </w:pPr>
    <w:rPr>
      <w:rFonts w:ascii="Arial" w:eastAsia="黑体"/>
      <w:sz w:val="30"/>
    </w:rPr>
  </w:style>
  <w:style w:type="paragraph" w:styleId="1256">
    <w:name w:val="修订1"/>
    <w:next w:val="1256"/>
    <w:link w:val="934"/>
    <w:qFormat/>
    <w:rPr>
      <w:sz w:val="21"/>
      <w:szCs w:val="24"/>
      <w:lang w:val="en-US" w:eastAsia="zh-CN" w:bidi="ar-SA"/>
    </w:rPr>
  </w:style>
  <w:style w:type="paragraph" w:styleId="1257">
    <w:name w:val="H6"/>
    <w:basedOn w:val="934"/>
    <w:next w:val="934"/>
    <w:link w:val="934"/>
    <w:qFormat/>
    <w:pPr>
      <w:jc w:val="left"/>
      <w:keepNext/>
      <w:spacing w:before="100" w:after="100"/>
      <w:outlineLvl w:val="6"/>
    </w:pPr>
    <w:rPr>
      <w:rFonts w:ascii="Calibri" w:hAnsi="Calibri" w:eastAsia="宋体"/>
      <w:b/>
      <w:sz w:val="16"/>
    </w:rPr>
  </w:style>
  <w:style w:type="paragraph" w:styleId="1258">
    <w:name w:val="无间隔1"/>
    <w:next w:val="1258"/>
    <w:link w:val="934"/>
    <w:qFormat/>
    <w:pPr>
      <w:jc w:val="both"/>
      <w:widowControl w:val="off"/>
    </w:pPr>
    <w:rPr>
      <w:sz w:val="21"/>
      <w:szCs w:val="24"/>
      <w:lang w:val="en-US" w:eastAsia="zh-CN" w:bidi="ar-SA"/>
    </w:rPr>
  </w:style>
  <w:style w:type="paragraph" w:styleId="1259">
    <w:name w:val="reader-word-layer"/>
    <w:basedOn w:val="934"/>
    <w:next w:val="1259"/>
    <w:link w:val="934"/>
    <w:qFormat/>
    <w:pPr>
      <w:jc w:val="left"/>
      <w:spacing w:before="100" w:beforeAutospacing="1" w:after="100" w:afterAutospacing="1"/>
      <w:widowControl/>
    </w:pPr>
    <w:rPr>
      <w:rFonts w:ascii="宋体" w:hAnsi="宋体" w:eastAsia="宋体" w:cs="宋体"/>
      <w:sz w:val="24"/>
      <w:szCs w:val="24"/>
    </w:rPr>
  </w:style>
  <w:style w:type="paragraph" w:styleId="1260">
    <w:name w:val="TOC 标题1"/>
    <w:basedOn w:val="935"/>
    <w:next w:val="934"/>
    <w:link w:val="934"/>
    <w:qFormat/>
    <w:pPr>
      <w:spacing w:line="576" w:lineRule="auto"/>
      <w:outlineLvl w:val="9"/>
    </w:pPr>
    <w:rPr>
      <w:rFonts w:ascii="Calibri" w:hAnsi="Calibri" w:eastAsia="黑体"/>
      <w:bCs/>
      <w:szCs w:val="44"/>
    </w:rPr>
  </w:style>
  <w:style w:type="paragraph" w:styleId="1261">
    <w:name w:val="正文文本_0"/>
    <w:basedOn w:val="1230"/>
    <w:next w:val="1261"/>
    <w:link w:val="934"/>
    <w:qFormat/>
    <w:pPr>
      <w:ind w:left="72" w:right="30"/>
      <w:jc w:val="center"/>
      <w:spacing w:after="60" w:line="360" w:lineRule="atLeast"/>
    </w:pPr>
    <w:rPr>
      <w:rFonts w:ascii="Times New Roman" w:hAnsi="Times New Roman"/>
      <w:sz w:val="20"/>
      <w:szCs w:val="20"/>
    </w:rPr>
  </w:style>
  <w:style w:type="paragraph" w:styleId="1262">
    <w:name w:val="Char Char Char Char Char Char Char"/>
    <w:basedOn w:val="934"/>
    <w:next w:val="1262"/>
    <w:link w:val="934"/>
    <w:qFormat/>
    <w:pPr>
      <w:jc w:val="left"/>
      <w:spacing w:after="160" w:line="240" w:lineRule="exact"/>
      <w:widowControl/>
    </w:pPr>
    <w:rPr>
      <w:rFonts w:eastAsia="宋体"/>
      <w:sz w:val="21"/>
      <w:szCs w:val="24"/>
    </w:rPr>
  </w:style>
  <w:style w:type="paragraph" w:styleId="1263">
    <w:name w:val="_Style 37"/>
    <w:basedOn w:val="934"/>
    <w:next w:val="934"/>
    <w:link w:val="934"/>
    <w:qFormat/>
    <w:rPr>
      <w:rFonts w:eastAsia="宋体"/>
      <w:sz w:val="21"/>
      <w:szCs w:val="24"/>
    </w:rPr>
  </w:style>
  <w:style w:type="paragraph" w:styleId="1264">
    <w:name w:val="样式 标题 2 + Times New Roman 四号 非加粗 段前: 5 磅 段后: 0 磅 行距: 固定值 20..."/>
    <w:basedOn w:val="936"/>
    <w:next w:val="1264"/>
    <w:link w:val="934"/>
    <w:qFormat/>
    <w:pPr>
      <w:jc w:val="both"/>
      <w:spacing w:before="100" w:line="400" w:lineRule="exact"/>
    </w:pPr>
    <w:rPr>
      <w:rFonts w:ascii="Times New Roman" w:hAnsi="Times New Roman" w:eastAsia="黑体" w:cs="宋体"/>
      <w:b w:val="0"/>
      <w:sz w:val="28"/>
    </w:rPr>
  </w:style>
  <w:style w:type="paragraph" w:styleId="1265">
    <w:name w:val="H3"/>
    <w:basedOn w:val="934"/>
    <w:next w:val="934"/>
    <w:link w:val="934"/>
    <w:qFormat/>
    <w:pPr>
      <w:jc w:val="left"/>
      <w:keepNext/>
      <w:spacing w:before="100" w:after="100"/>
      <w:outlineLvl w:val="3"/>
    </w:pPr>
    <w:rPr>
      <w:rFonts w:ascii="Calibri" w:hAnsi="Calibri" w:eastAsia="宋体"/>
      <w:b/>
      <w:sz w:val="28"/>
    </w:rPr>
  </w:style>
  <w:style w:type="paragraph" w:styleId="1266">
    <w:name w:val="2-2ji"/>
    <w:basedOn w:val="936"/>
    <w:next w:val="1266"/>
    <w:link w:val="934"/>
    <w:qFormat/>
    <w:pPr>
      <w:jc w:val="center"/>
      <w:spacing w:line="360" w:lineRule="auto"/>
    </w:pPr>
    <w:rPr>
      <w:rFonts w:eastAsia="宋体"/>
      <w:bCs/>
      <w:sz w:val="36"/>
      <w:szCs w:val="24"/>
    </w:rPr>
  </w:style>
  <w:style w:type="paragraph" w:styleId="1267">
    <w:name w:val="空半行"/>
    <w:basedOn w:val="934"/>
    <w:next w:val="1267"/>
    <w:link w:val="934"/>
    <w:qFormat/>
    <w:pPr>
      <w:spacing w:line="120" w:lineRule="exact"/>
    </w:pPr>
    <w:rPr>
      <w:rFonts w:eastAsia="仿宋_GB2312"/>
      <w:color w:val="ffffff"/>
      <w:sz w:val="30"/>
    </w:rPr>
  </w:style>
  <w:style w:type="paragraph" w:styleId="1268">
    <w:name w:val="正文_3"/>
    <w:next w:val="1268"/>
    <w:link w:val="934"/>
    <w:qFormat/>
    <w:pPr>
      <w:jc w:val="both"/>
      <w:widowControl w:val="off"/>
    </w:pPr>
    <w:rPr>
      <w:rFonts w:ascii="Calibri" w:hAnsi="Calibri"/>
      <w:sz w:val="21"/>
      <w:szCs w:val="22"/>
      <w:lang w:val="en-US" w:eastAsia="zh-CN" w:bidi="ar-SA"/>
    </w:rPr>
  </w:style>
  <w:style w:type="paragraph" w:styleId="1269">
    <w:name w:val="样式 标题 1 + 黑体 三号 非加粗 居中 段前: 6 磅 段后: 6 磅 行距: 固定值 20 磅"/>
    <w:basedOn w:val="935"/>
    <w:next w:val="1269"/>
    <w:link w:val="934"/>
    <w:qFormat/>
    <w:pPr>
      <w:spacing w:line="400" w:lineRule="exact"/>
    </w:pPr>
    <w:rPr>
      <w:rFonts w:hAnsi="黑体" w:eastAsia="宋体" w:cs="宋体"/>
      <w:b w:val="0"/>
      <w:bCs/>
      <w:sz w:val="32"/>
    </w:rPr>
  </w:style>
  <w:style w:type="paragraph" w:styleId="1270">
    <w:name w:val="默认段落字体 Para Char Char Char Char Char Char Char"/>
    <w:basedOn w:val="934"/>
    <w:next w:val="1270"/>
    <w:link w:val="934"/>
    <w:qFormat/>
    <w:rPr>
      <w:rFonts w:ascii="Tahoma" w:hAnsi="Tahoma" w:eastAsia="宋体"/>
      <w:sz w:val="24"/>
    </w:rPr>
  </w:style>
  <w:style w:type="paragraph" w:styleId="1271">
    <w:name w:val="H1"/>
    <w:basedOn w:val="934"/>
    <w:next w:val="934"/>
    <w:link w:val="934"/>
    <w:qFormat/>
    <w:pPr>
      <w:jc w:val="left"/>
      <w:keepNext/>
      <w:spacing w:before="100" w:after="100"/>
      <w:outlineLvl w:val="1"/>
    </w:pPr>
    <w:rPr>
      <w:rFonts w:ascii="Calibri" w:hAnsi="Calibri" w:eastAsia="宋体"/>
      <w:b/>
      <w:sz w:val="48"/>
    </w:rPr>
  </w:style>
  <w:style w:type="paragraph" w:styleId="1272">
    <w:name w:val="H4"/>
    <w:basedOn w:val="934"/>
    <w:next w:val="934"/>
    <w:link w:val="934"/>
    <w:qFormat/>
    <w:pPr>
      <w:jc w:val="left"/>
      <w:keepNext/>
      <w:spacing w:before="100" w:after="100"/>
      <w:outlineLvl w:val="4"/>
    </w:pPr>
    <w:rPr>
      <w:rFonts w:ascii="Calibri" w:hAnsi="Calibri" w:eastAsia="宋体"/>
      <w:b/>
      <w:sz w:val="24"/>
    </w:rPr>
  </w:style>
  <w:style w:type="paragraph" w:styleId="1273">
    <w:name w:val="H5"/>
    <w:basedOn w:val="934"/>
    <w:next w:val="934"/>
    <w:link w:val="934"/>
    <w:qFormat/>
    <w:pPr>
      <w:jc w:val="left"/>
      <w:keepNext/>
      <w:spacing w:before="100" w:after="100"/>
      <w:outlineLvl w:val="5"/>
    </w:pPr>
    <w:rPr>
      <w:rFonts w:ascii="Calibri" w:hAnsi="Calibri" w:eastAsia="宋体"/>
      <w:b/>
      <w:sz w:val="20"/>
    </w:rPr>
  </w:style>
  <w:style w:type="paragraph" w:styleId="1274">
    <w:name w:val="Address"/>
    <w:basedOn w:val="934"/>
    <w:next w:val="934"/>
    <w:link w:val="934"/>
    <w:qFormat/>
    <w:pPr>
      <w:jc w:val="left"/>
    </w:pPr>
    <w:rPr>
      <w:rFonts w:ascii="Calibri" w:hAnsi="Calibri" w:eastAsia="宋体"/>
      <w:i/>
      <w:sz w:val="24"/>
    </w:rPr>
  </w:style>
  <w:style w:type="paragraph" w:styleId="1275">
    <w:name w:val="Preformatted"/>
    <w:basedOn w:val="934"/>
    <w:next w:val="1275"/>
    <w:link w:val="934"/>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rPr>
  </w:style>
  <w:style w:type="paragraph" w:styleId="1276">
    <w:name w:val="z-Bottom of Form"/>
    <w:next w:val="934"/>
    <w:link w:val="934"/>
    <w:qFormat/>
    <w:pPr>
      <w:jc w:val="center"/>
      <w:widowControl w:val="off"/>
      <w:pBdr>
        <w:top w:val="single" w:color="000000" w:sz="2" w:space="0"/>
      </w:pBdr>
    </w:pPr>
    <w:rPr>
      <w:rFonts w:ascii="Arial" w:hAnsi="Arial"/>
      <w:vanish/>
      <w:sz w:val="16"/>
      <w:lang w:val="en-US" w:eastAsia="zh-CN" w:bidi="ar-SA"/>
    </w:rPr>
  </w:style>
  <w:style w:type="paragraph" w:styleId="1277">
    <w:name w:val="_Style 325"/>
    <w:next w:val="1277"/>
    <w:link w:val="934"/>
    <w:uiPriority w:val="99"/>
    <w:unhideWhenUsed/>
    <w:qFormat/>
    <w:pPr>
      <w:jc w:val="both"/>
      <w:widowControl w:val="off"/>
    </w:pPr>
    <w:rPr>
      <w:rFonts w:eastAsia="楷体_GB2312"/>
      <w:sz w:val="26"/>
      <w:lang w:val="en-US" w:eastAsia="zh-CN" w:bidi="ar-SA"/>
    </w:rPr>
  </w:style>
  <w:style w:type="paragraph" w:styleId="1278">
    <w:name w:val="正文(其它)"/>
    <w:basedOn w:val="934"/>
    <w:next w:val="1278"/>
    <w:link w:val="934"/>
    <w:qFormat/>
    <w:pPr>
      <w:jc w:val="center"/>
      <w:spacing w:line="312" w:lineRule="auto"/>
    </w:pPr>
    <w:rPr>
      <w:rFonts w:ascii="黑体" w:eastAsia="黑体"/>
      <w:sz w:val="32"/>
      <w:szCs w:val="32"/>
    </w:rPr>
  </w:style>
  <w:style w:type="paragraph" w:styleId="1279">
    <w:name w:val="06正文"/>
    <w:basedOn w:val="934"/>
    <w:next w:val="1279"/>
    <w:link w:val="934"/>
    <w:qFormat/>
    <w:pPr>
      <w:ind w:firstLine="420"/>
      <w:spacing w:line="360" w:lineRule="auto"/>
      <w:widowControl/>
    </w:pPr>
    <w:rPr>
      <w:rFonts w:ascii="宋体" w:hAnsi="宋体"/>
      <w:szCs w:val="21"/>
    </w:rPr>
  </w:style>
  <w:style w:type="paragraph" w:styleId="1280">
    <w:name w:val="首行缩进"/>
    <w:basedOn w:val="934"/>
    <w:next w:val="1280"/>
    <w:link w:val="934"/>
    <w:qFormat/>
    <w:pPr>
      <w:ind w:firstLine="480"/>
    </w:pPr>
    <w:rPr>
      <w:rFonts w:ascii="Calibri" w:hAnsi="Calibri"/>
      <w:lang w:val="zh-CN"/>
    </w:rPr>
  </w:style>
  <w:style w:type="paragraph" w:styleId="1281">
    <w:name w:val="列表段落1"/>
    <w:basedOn w:val="934"/>
    <w:next w:val="1281"/>
    <w:link w:val="934"/>
    <w:uiPriority w:val="34"/>
    <w:qFormat/>
    <w:pPr>
      <w:ind w:firstLine="420"/>
    </w:pPr>
  </w:style>
  <w:style w:type="paragraph" w:styleId="1282">
    <w:name w:val="_正文段落"/>
    <w:basedOn w:val="934"/>
    <w:next w:val="1282"/>
    <w:link w:val="934"/>
    <w:qFormat/>
    <w:pPr>
      <w:ind w:firstLine="480"/>
      <w:spacing w:line="360" w:lineRule="auto"/>
    </w:pPr>
    <w:rPr>
      <w:rFonts w:ascii="宋体" w:hAnsi="宋体" w:eastAsia="宋体"/>
      <w:sz w:val="24"/>
      <w:szCs w:val="24"/>
    </w:rPr>
  </w:style>
  <w:style w:type="paragraph" w:styleId="1283">
    <w:name w:val="WPSOffice手动目录 1"/>
    <w:next w:val="1283"/>
    <w:link w:val="934"/>
    <w:rPr>
      <w:lang w:val="en-US" w:eastAsia="zh-CN" w:bidi="ar-SA"/>
    </w:rPr>
  </w:style>
  <w:style w:type="paragraph" w:styleId="1284">
    <w:name w:val="Normal1"/>
    <w:next w:val="1284"/>
    <w:link w:val="934"/>
    <w:qFormat/>
    <w:pPr>
      <w:jc w:val="both"/>
      <w:widowControl w:val="off"/>
    </w:pPr>
    <w:rPr>
      <w:sz w:val="21"/>
      <w:szCs w:val="22"/>
      <w:lang w:val="en-US" w:eastAsia="zh-CN" w:bidi="ar-SA"/>
    </w:rPr>
  </w:style>
  <w:style w:type="paragraph" w:styleId="1285">
    <w:name w:val="Heading 1_0"/>
    <w:next w:val="1285"/>
    <w:link w:val="934"/>
    <w:uiPriority w:val="99"/>
    <w:qFormat/>
    <w:pPr>
      <w:keepLines/>
      <w:keepNext/>
      <w:spacing w:before="340" w:after="330" w:line="576" w:lineRule="auto"/>
      <w:outlineLvl w:val="0"/>
    </w:pPr>
    <w:rPr>
      <w:rFonts w:cs="等线"/>
      <w:b/>
      <w:sz w:val="44"/>
      <w:lang w:val="en-US" w:eastAsia="zh-CN" w:bidi="ar-SA"/>
    </w:rPr>
  </w:style>
  <w:style w:type="paragraph" w:styleId="1286">
    <w:name w:val="Heading 41"/>
    <w:next w:val="1286"/>
    <w:link w:val="934"/>
    <w:uiPriority w:val="99"/>
    <w:qFormat/>
    <w:pPr>
      <w:keepLines/>
      <w:keepNext/>
      <w:spacing w:before="280" w:after="290" w:line="376" w:lineRule="auto"/>
      <w:outlineLvl w:val="3"/>
    </w:pPr>
    <w:rPr>
      <w:rFonts w:ascii="Arial" w:hAnsi="Arial" w:eastAsia="黑体" w:cs="等线"/>
      <w:b/>
      <w:bCs/>
      <w:sz w:val="28"/>
      <w:szCs w:val="28"/>
      <w:lang w:val="en-US" w:eastAsia="zh-CN" w:bidi="ar-SA"/>
    </w:rPr>
  </w:style>
  <w:style w:type="paragraph" w:styleId="1287">
    <w:name w:val="正文3"/>
    <w:next w:val="1287"/>
    <w:link w:val="934"/>
    <w:uiPriority w:val="99"/>
    <w:qFormat/>
    <w:pPr>
      <w:jc w:val="both"/>
      <w:widowControl w:val="off"/>
    </w:pPr>
    <w:rPr>
      <w:sz w:val="21"/>
      <w:szCs w:val="22"/>
      <w:lang w:val="en-US" w:eastAsia="zh-CN" w:bidi="ar-SA"/>
    </w:rPr>
  </w:style>
  <w:style w:type="paragraph" w:styleId="1288">
    <w:name w:val="正文_1_0_0_0"/>
    <w:next w:val="1288"/>
    <w:link w:val="934"/>
    <w:uiPriority w:val="99"/>
    <w:qFormat/>
    <w:pPr>
      <w:jc w:val="both"/>
      <w:widowControl w:val="off"/>
    </w:pPr>
    <w:rPr>
      <w:rFonts w:ascii="宋体"/>
      <w:sz w:val="21"/>
      <w:szCs w:val="24"/>
      <w:lang w:val="en-US" w:eastAsia="zh-CN" w:bidi="ar-SA"/>
    </w:rPr>
  </w:style>
  <w:style w:type="paragraph" w:styleId="1289">
    <w:name w:val="正文_0_0"/>
    <w:next w:val="1289"/>
    <w:link w:val="934"/>
    <w:uiPriority w:val="99"/>
    <w:qFormat/>
    <w:pPr>
      <w:jc w:val="both"/>
      <w:widowControl w:val="off"/>
    </w:pPr>
    <w:rPr>
      <w:sz w:val="21"/>
      <w:szCs w:val="22"/>
      <w:lang w:val="en-US" w:eastAsia="zh-CN" w:bidi="ar-SA"/>
    </w:rPr>
  </w:style>
  <w:style w:type="paragraph" w:styleId="1290">
    <w:name w:val="标题 2_0_0"/>
    <w:basedOn w:val="1291"/>
    <w:next w:val="1289"/>
    <w:link w:val="934"/>
    <w:uiPriority w:val="99"/>
    <w:qFormat/>
    <w:pPr>
      <w:keepLines/>
      <w:keepNext/>
      <w:spacing w:before="120" w:after="120" w:line="360" w:lineRule="auto"/>
      <w:outlineLvl w:val="1"/>
    </w:pPr>
    <w:rPr>
      <w:rFonts w:ascii="黑体" w:hAnsi="宋体" w:eastAsia="黑体" w:cs="等线"/>
      <w:sz w:val="30"/>
      <w:szCs w:val="30"/>
    </w:rPr>
  </w:style>
  <w:style w:type="paragraph" w:styleId="1291">
    <w:name w:val="标题_0_0"/>
    <w:basedOn w:val="1289"/>
    <w:next w:val="1289"/>
    <w:link w:val="934"/>
    <w:qFormat/>
    <w:pPr>
      <w:jc w:val="center"/>
      <w:spacing w:before="240" w:after="60"/>
      <w:outlineLvl w:val="0"/>
    </w:pPr>
    <w:rPr>
      <w:rFonts w:ascii="Cambria" w:hAnsi="Cambria"/>
      <w:b/>
      <w:bCs/>
      <w:sz w:val="32"/>
      <w:szCs w:val="32"/>
    </w:rPr>
  </w:style>
  <w:style w:type="paragraph" w:styleId="1292">
    <w:name w:val="普通(网站)1"/>
    <w:basedOn w:val="934"/>
    <w:next w:val="1292"/>
    <w:link w:val="934"/>
    <w:qFormat/>
    <w:pPr>
      <w:jc w:val="left"/>
      <w:spacing w:before="100" w:beforeAutospacing="1" w:after="100" w:afterAutospacing="1"/>
      <w:widowControl/>
    </w:pPr>
    <w:rPr>
      <w:rFonts w:ascii="宋体" w:hAnsi="宋体" w:eastAsia="宋体" w:cs="宋体"/>
      <w:sz w:val="24"/>
      <w:szCs w:val="24"/>
    </w:rPr>
  </w:style>
  <w:style w:type="character" w:styleId="1293">
    <w:name w:val="hover1"/>
    <w:basedOn w:val="944"/>
    <w:next w:val="1293"/>
    <w:link w:val="934"/>
    <w:rPr>
      <w:color w:val="5fb878"/>
    </w:rPr>
  </w:style>
  <w:style w:type="character" w:styleId="1294">
    <w:name w:val="hover2"/>
    <w:basedOn w:val="944"/>
    <w:next w:val="1294"/>
    <w:link w:val="934"/>
    <w:rPr>
      <w:color w:val="5fb878"/>
    </w:rPr>
  </w:style>
  <w:style w:type="character" w:styleId="1295">
    <w:name w:val="hover3"/>
    <w:basedOn w:val="944"/>
    <w:next w:val="1295"/>
    <w:link w:val="934"/>
    <w:rPr>
      <w:color w:val="ffffff"/>
    </w:rPr>
  </w:style>
  <w:style w:type="character" w:styleId="1296">
    <w:name w:val="hover"/>
    <w:basedOn w:val="944"/>
    <w:next w:val="1296"/>
    <w:link w:val="934"/>
    <w:rPr>
      <w:color w:val="5fb878"/>
    </w:rPr>
  </w:style>
  <w:style w:type="paragraph" w:styleId="1297">
    <w:name w:val="paragraph"/>
    <w:basedOn w:val="934"/>
    <w:next w:val="1297"/>
    <w:link w:val="934"/>
    <w:qFormat/>
    <w:pPr>
      <w:jc w:val="left"/>
      <w:spacing w:before="100" w:beforeAutospacing="1" w:after="100" w:afterAutospacing="1"/>
      <w:widowControl/>
    </w:pPr>
    <w:rPr>
      <w:rFonts w:ascii="宋体" w:hAnsi="宋体" w:cs="宋体"/>
      <w:sz w:val="24"/>
    </w:rPr>
  </w:style>
  <w:style w:type="character" w:styleId="1298" w:default="1">
    <w:name w:val="Default Paragraph Font"/>
    <w:uiPriority w:val="1"/>
    <w:semiHidden/>
    <w:unhideWhenUsed/>
  </w:style>
  <w:style w:type="numbering" w:styleId="1299" w:default="1">
    <w:name w:val="No List"/>
    <w:uiPriority w:val="99"/>
    <w:semiHidden/>
    <w:unhideWhenUsed/>
  </w:style>
  <w:style w:type="table" w:styleId="13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26"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214"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223"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427"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013"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956"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740" TargetMode="External"/><Relationship Id="rId19" Type="http://schemas.openxmlformats.org/officeDocument/2006/relationships/hyperlink" Target="http://www.szweikang.xn--com-6y3ba7cbgc4097e4kax19cqoerohxod7w1bva254sga6035lg4sc/"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俞莉</cp:lastModifiedBy>
  <cp:revision>15</cp:revision>
  <dcterms:created xsi:type="dcterms:W3CDTF">2024-02-27T08:52:00Z</dcterms:created>
  <dcterms:modified xsi:type="dcterms:W3CDTF">2026-04-03T08:23:14Z</dcterms:modified>
</cp:coreProperties>
</file>